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62B36">
      <w:pPr>
        <w:jc w:val="center"/>
        <w:rPr>
          <w:rFonts w:eastAsia="黑体"/>
          <w:sz w:val="36"/>
          <w:szCs w:val="36"/>
        </w:rPr>
      </w:pPr>
      <w:r>
        <w:rPr>
          <w:rFonts w:hint="eastAsia" w:eastAsia="黑体"/>
          <w:sz w:val="36"/>
          <w:szCs w:val="36"/>
          <w:lang w:eastAsia="zh-CN"/>
        </w:rPr>
        <w:t>常州市香梅小学电力维修项目</w:t>
      </w:r>
      <w:r>
        <w:rPr>
          <w:rFonts w:hint="eastAsia" w:eastAsia="黑体"/>
          <w:sz w:val="36"/>
          <w:szCs w:val="36"/>
        </w:rPr>
        <w:t>编制说明</w:t>
      </w:r>
    </w:p>
    <w:p w14:paraId="34E1D294">
      <w:pPr>
        <w:numPr>
          <w:ilvl w:val="0"/>
          <w:numId w:val="1"/>
        </w:numPr>
        <w:spacing w:line="360" w:lineRule="auto"/>
        <w:rPr>
          <w:rFonts w:ascii="宋体"/>
          <w:szCs w:val="21"/>
        </w:rPr>
      </w:pPr>
      <w:r>
        <w:rPr>
          <w:rFonts w:hint="eastAsia" w:ascii="宋体"/>
          <w:szCs w:val="21"/>
        </w:rPr>
        <w:t>项目名称：</w:t>
      </w:r>
      <w:r>
        <w:rPr>
          <w:rFonts w:hint="eastAsia" w:ascii="宋体"/>
          <w:szCs w:val="21"/>
          <w:lang w:eastAsia="zh-CN"/>
        </w:rPr>
        <w:t>常州市香梅小学电力维修项目</w:t>
      </w:r>
    </w:p>
    <w:p w14:paraId="736D99A3">
      <w:pPr>
        <w:numPr>
          <w:ilvl w:val="0"/>
          <w:numId w:val="1"/>
        </w:numPr>
        <w:spacing w:line="360" w:lineRule="auto"/>
        <w:rPr>
          <w:rFonts w:ascii="宋体"/>
          <w:szCs w:val="21"/>
        </w:rPr>
      </w:pPr>
      <w:r>
        <w:rPr>
          <w:rFonts w:hint="eastAsia" w:ascii="宋体"/>
          <w:szCs w:val="21"/>
        </w:rPr>
        <w:t>项目概况：本次招标范围为</w:t>
      </w:r>
      <w:r>
        <w:rPr>
          <w:rFonts w:hint="eastAsia" w:ascii="宋体"/>
          <w:szCs w:val="21"/>
          <w:lang w:eastAsia="zh-CN"/>
        </w:rPr>
        <w:t>常州市香梅小学电力维修项目</w:t>
      </w:r>
      <w:r>
        <w:rPr>
          <w:rFonts w:hint="eastAsia" w:ascii="宋体"/>
          <w:szCs w:val="21"/>
          <w:lang w:val="en-US" w:eastAsia="zh-CN"/>
        </w:rPr>
        <w:t>。</w:t>
      </w:r>
    </w:p>
    <w:p w14:paraId="51DD477F">
      <w:pPr>
        <w:numPr>
          <w:ilvl w:val="0"/>
          <w:numId w:val="1"/>
        </w:numPr>
        <w:spacing w:line="360" w:lineRule="auto"/>
        <w:rPr>
          <w:rFonts w:ascii="宋体"/>
          <w:szCs w:val="21"/>
        </w:rPr>
      </w:pPr>
      <w:r>
        <w:rPr>
          <w:rFonts w:hint="eastAsia" w:ascii="宋体"/>
          <w:szCs w:val="21"/>
        </w:rPr>
        <w:t>编制范围：</w:t>
      </w:r>
      <w:r>
        <w:rPr>
          <w:rFonts w:hint="eastAsia" w:ascii="宋体"/>
          <w:szCs w:val="21"/>
          <w:lang w:val="en-US" w:eastAsia="zh-CN"/>
        </w:rPr>
        <w:t>电缆及电缆保护管敷设</w:t>
      </w:r>
      <w:r>
        <w:rPr>
          <w:rFonts w:hint="eastAsia" w:ascii="宋体" w:eastAsia="宋体"/>
          <w:szCs w:val="21"/>
          <w:lang w:val="en-US" w:eastAsia="zh-CN"/>
        </w:rPr>
        <w:t>、路面破除及恢复、绿化恢复。</w:t>
      </w:r>
    </w:p>
    <w:p w14:paraId="0F3F0606">
      <w:pPr>
        <w:numPr>
          <w:ilvl w:val="0"/>
          <w:numId w:val="1"/>
        </w:numPr>
        <w:spacing w:line="360" w:lineRule="auto"/>
        <w:rPr>
          <w:rFonts w:ascii="宋体"/>
          <w:szCs w:val="21"/>
        </w:rPr>
      </w:pPr>
      <w:r>
        <w:rPr>
          <w:rFonts w:hint="eastAsia" w:ascii="宋体"/>
          <w:szCs w:val="21"/>
        </w:rPr>
        <w:t>编制依据</w:t>
      </w:r>
    </w:p>
    <w:p w14:paraId="11EF00CE">
      <w:pPr>
        <w:numPr>
          <w:ilvl w:val="0"/>
          <w:numId w:val="2"/>
        </w:numPr>
        <w:spacing w:line="360" w:lineRule="auto"/>
        <w:ind w:left="674" w:leftChars="171" w:hanging="315" w:hangingChars="150"/>
        <w:rPr>
          <w:rFonts w:ascii="宋体"/>
          <w:szCs w:val="21"/>
        </w:rPr>
      </w:pPr>
      <w:r>
        <w:rPr>
          <w:rFonts w:hint="eastAsia" w:ascii="宋体"/>
          <w:szCs w:val="21"/>
        </w:rPr>
        <w:t>本工程量清单根据《建设工程工程量清单计价规范》（GB50500-2013）、《房屋建</w:t>
      </w:r>
    </w:p>
    <w:p w14:paraId="517A2F5F">
      <w:pPr>
        <w:spacing w:line="360" w:lineRule="auto"/>
        <w:rPr>
          <w:rFonts w:ascii="宋体"/>
          <w:szCs w:val="21"/>
        </w:rPr>
      </w:pPr>
      <w:r>
        <w:rPr>
          <w:rFonts w:hint="eastAsia" w:ascii="宋体"/>
          <w:szCs w:val="21"/>
        </w:rPr>
        <w:t>筑与装饰工程工程量计算规范》（GB50854-2013）、《江苏省建筑与装饰工程计价定额》（2014版）、</w:t>
      </w:r>
      <w:r>
        <w:rPr>
          <w:rFonts w:hint="eastAsia" w:ascii="宋体" w:hAnsi="宋体"/>
          <w:bCs/>
          <w:szCs w:val="21"/>
        </w:rPr>
        <w:t>《江苏省安装工程计价定额》(2014)</w:t>
      </w:r>
      <w:r>
        <w:rPr>
          <w:rFonts w:hint="eastAsia" w:ascii="宋体"/>
          <w:szCs w:val="21"/>
        </w:rPr>
        <w:t>及配套的《江苏省建设工程费用定额》（2014版）营改增后调整内容、常建[2016]94号、常建[2014]279号、常建[2017]133号、苏建函价〔2019〕178号文、常建[2019]1号文、[2019]第19号、[2021]第16号等编制。</w:t>
      </w:r>
    </w:p>
    <w:p w14:paraId="504EB43C">
      <w:pPr>
        <w:numPr>
          <w:ilvl w:val="0"/>
          <w:numId w:val="2"/>
        </w:numPr>
        <w:spacing w:line="360" w:lineRule="auto"/>
        <w:ind w:left="13" w:leftChars="6" w:firstLine="344" w:firstLineChars="164"/>
        <w:rPr>
          <w:rFonts w:ascii="宋体"/>
          <w:szCs w:val="21"/>
        </w:rPr>
      </w:pPr>
      <w:r>
        <w:rPr>
          <w:rFonts w:hint="eastAsia" w:ascii="宋体"/>
          <w:szCs w:val="21"/>
        </w:rPr>
        <w:t>招标文件、设计图纸、委托方的编制要求及相关问题回复。</w:t>
      </w:r>
    </w:p>
    <w:p w14:paraId="1818051F">
      <w:pPr>
        <w:numPr>
          <w:ilvl w:val="0"/>
          <w:numId w:val="2"/>
        </w:numPr>
        <w:spacing w:line="360" w:lineRule="auto"/>
        <w:ind w:left="674" w:leftChars="171" w:hanging="315" w:hangingChars="150"/>
        <w:rPr>
          <w:rFonts w:ascii="宋体"/>
          <w:szCs w:val="21"/>
        </w:rPr>
      </w:pPr>
      <w:r>
        <w:rPr>
          <w:rFonts w:hint="eastAsia" w:ascii="宋体"/>
          <w:szCs w:val="21"/>
        </w:rPr>
        <w:t>施工现场情况、工程特点等。</w:t>
      </w:r>
    </w:p>
    <w:p w14:paraId="167C35B2">
      <w:pPr>
        <w:numPr>
          <w:ilvl w:val="0"/>
          <w:numId w:val="2"/>
        </w:numPr>
        <w:spacing w:line="360" w:lineRule="auto"/>
        <w:ind w:left="13" w:leftChars="6" w:firstLine="344" w:firstLineChars="164"/>
        <w:rPr>
          <w:rFonts w:ascii="宋体"/>
          <w:szCs w:val="21"/>
        </w:rPr>
      </w:pPr>
      <w:r>
        <w:rPr>
          <w:rFonts w:hint="eastAsia" w:ascii="宋体"/>
          <w:szCs w:val="21"/>
        </w:rPr>
        <w:t>控制价人工工资按照苏建函价[202</w:t>
      </w:r>
      <w:r>
        <w:rPr>
          <w:rFonts w:hint="eastAsia" w:ascii="宋体"/>
          <w:szCs w:val="21"/>
          <w:lang w:val="en-US" w:eastAsia="zh-CN"/>
        </w:rPr>
        <w:t>5</w:t>
      </w:r>
      <w:r>
        <w:rPr>
          <w:rFonts w:hint="eastAsia" w:ascii="宋体"/>
          <w:szCs w:val="21"/>
        </w:rPr>
        <w:t>]</w:t>
      </w:r>
      <w:r>
        <w:rPr>
          <w:rFonts w:hint="eastAsia" w:ascii="宋体"/>
          <w:szCs w:val="21"/>
          <w:lang w:val="en-US" w:eastAsia="zh-CN"/>
        </w:rPr>
        <w:t>273</w:t>
      </w:r>
      <w:r>
        <w:rPr>
          <w:rFonts w:hint="eastAsia" w:ascii="宋体"/>
          <w:szCs w:val="21"/>
        </w:rPr>
        <w:t>号文；</w:t>
      </w:r>
      <w:r>
        <w:rPr>
          <w:rFonts w:hint="eastAsia" w:ascii="宋体" w:hAnsi="宋体"/>
          <w:szCs w:val="21"/>
        </w:rPr>
        <w:t>控制价材料价格参见常州市20</w:t>
      </w:r>
      <w:r>
        <w:rPr>
          <w:rFonts w:hint="eastAsia" w:ascii="宋体" w:hAnsi="宋体"/>
          <w:szCs w:val="21"/>
          <w:lang w:val="en-US" w:eastAsia="zh-CN"/>
        </w:rPr>
        <w:t>26</w:t>
      </w:r>
      <w:r>
        <w:rPr>
          <w:rFonts w:hint="eastAsia" w:ascii="宋体" w:hAnsi="宋体"/>
          <w:szCs w:val="21"/>
        </w:rPr>
        <w:t>年</w:t>
      </w:r>
      <w:r>
        <w:rPr>
          <w:rFonts w:hint="eastAsia" w:ascii="宋体" w:hAnsi="宋体"/>
          <w:szCs w:val="21"/>
          <w:lang w:val="en-US" w:eastAsia="zh-CN"/>
        </w:rPr>
        <w:t>1</w:t>
      </w:r>
      <w:r>
        <w:rPr>
          <w:rFonts w:hint="eastAsia" w:ascii="宋体" w:hAnsi="宋体"/>
          <w:szCs w:val="21"/>
        </w:rPr>
        <w:t>月份常州建筑工程材料信息价（</w:t>
      </w:r>
      <w:r>
        <w:rPr>
          <w:rFonts w:hint="eastAsia" w:ascii="宋体" w:hAnsi="宋体"/>
          <w:szCs w:val="21"/>
          <w:lang w:val="en-US" w:eastAsia="zh-CN"/>
        </w:rPr>
        <w:t>1</w:t>
      </w:r>
      <w:r>
        <w:rPr>
          <w:rFonts w:hint="eastAsia" w:ascii="宋体" w:hAnsi="宋体"/>
          <w:szCs w:val="21"/>
        </w:rPr>
        <w:t>月份没有的逐月前推），信息价缺项的按市场询价（除税价）计取</w:t>
      </w:r>
      <w:r>
        <w:rPr>
          <w:rFonts w:hint="eastAsia" w:ascii="宋体" w:hAnsi="宋体"/>
          <w:bCs/>
          <w:szCs w:val="21"/>
        </w:rPr>
        <w:t>。</w:t>
      </w:r>
      <w:r>
        <w:rPr>
          <w:rFonts w:hint="eastAsia" w:ascii="宋体" w:hAnsi="宋体"/>
          <w:szCs w:val="21"/>
        </w:rPr>
        <w:t>招标控制价严格按照《建设工程工程量清单计价规范》等规定编制。</w:t>
      </w:r>
    </w:p>
    <w:p w14:paraId="4932AB5B">
      <w:pPr>
        <w:numPr>
          <w:ilvl w:val="0"/>
          <w:numId w:val="0"/>
        </w:numPr>
        <w:spacing w:line="360" w:lineRule="auto"/>
        <w:ind w:left="180" w:leftChars="0"/>
        <w:rPr>
          <w:rFonts w:ascii="宋体"/>
          <w:szCs w:val="21"/>
        </w:rPr>
      </w:pPr>
      <w:r>
        <w:rPr>
          <w:rFonts w:hint="eastAsia" w:ascii="宋体"/>
          <w:szCs w:val="21"/>
        </w:rPr>
        <w:t>工程量清单部分</w:t>
      </w:r>
    </w:p>
    <w:p w14:paraId="2E043A4C">
      <w:pPr>
        <w:numPr>
          <w:ilvl w:val="0"/>
          <w:numId w:val="3"/>
        </w:numPr>
        <w:spacing w:line="360" w:lineRule="auto"/>
        <w:ind w:firstLine="420" w:firstLineChars="200"/>
        <w:rPr>
          <w:rFonts w:ascii="宋体" w:hAnsi="宋体"/>
          <w:szCs w:val="21"/>
        </w:rPr>
      </w:pPr>
      <w:r>
        <w:rPr>
          <w:rFonts w:hint="eastAsia" w:ascii="宋体" w:hAnsi="宋体"/>
          <w:szCs w:val="21"/>
        </w:rPr>
        <w:t>编制范围：</w:t>
      </w:r>
      <w:r>
        <w:rPr>
          <w:rFonts w:hint="eastAsia" w:ascii="宋体" w:hAnsi="宋体"/>
          <w:szCs w:val="21"/>
          <w:lang w:val="en-US" w:eastAsia="zh-CN"/>
        </w:rPr>
        <w:t>室外电缆及其保护管敷设，</w:t>
      </w:r>
      <w:r>
        <w:rPr>
          <w:rFonts w:hint="eastAsia" w:ascii="宋体" w:eastAsia="宋体"/>
          <w:szCs w:val="21"/>
          <w:lang w:val="en-US" w:eastAsia="zh-CN"/>
        </w:rPr>
        <w:t>路面破除及恢复、绿化</w:t>
      </w:r>
      <w:r>
        <w:rPr>
          <w:rFonts w:hint="eastAsia" w:ascii="宋体"/>
          <w:szCs w:val="21"/>
          <w:lang w:val="en-US" w:eastAsia="zh-CN"/>
        </w:rPr>
        <w:t>开挖及</w:t>
      </w:r>
      <w:r>
        <w:rPr>
          <w:rFonts w:hint="eastAsia" w:ascii="宋体" w:eastAsia="宋体"/>
          <w:szCs w:val="21"/>
          <w:lang w:val="en-US" w:eastAsia="zh-CN"/>
        </w:rPr>
        <w:t>恢复</w:t>
      </w:r>
      <w:r>
        <w:rPr>
          <w:rFonts w:hint="eastAsia" w:ascii="宋体"/>
          <w:szCs w:val="21"/>
          <w:lang w:val="en-US" w:eastAsia="zh-CN"/>
        </w:rPr>
        <w:t>。</w:t>
      </w:r>
    </w:p>
    <w:p w14:paraId="3A8AB311">
      <w:pPr>
        <w:numPr>
          <w:ilvl w:val="0"/>
          <w:numId w:val="3"/>
        </w:numPr>
        <w:spacing w:line="360" w:lineRule="auto"/>
        <w:ind w:firstLine="420" w:firstLineChars="200"/>
        <w:rPr>
          <w:rFonts w:ascii="宋体" w:hAnsi="宋体"/>
          <w:szCs w:val="21"/>
        </w:rPr>
      </w:pPr>
      <w:r>
        <w:rPr>
          <w:rFonts w:hint="eastAsia" w:ascii="宋体" w:hAnsi="宋体"/>
          <w:szCs w:val="21"/>
        </w:rPr>
        <w:t xml:space="preserve">各系统调试、检测、试运行、无负荷调试，带负荷调试内容及费用均含在投标总价内，由投标人自行考虑。 </w:t>
      </w:r>
    </w:p>
    <w:p w14:paraId="296A0E33">
      <w:pPr>
        <w:numPr>
          <w:ilvl w:val="0"/>
          <w:numId w:val="3"/>
        </w:numPr>
        <w:spacing w:line="360" w:lineRule="auto"/>
        <w:ind w:firstLine="420" w:firstLineChars="200"/>
        <w:rPr>
          <w:rFonts w:ascii="宋体" w:hAnsi="宋体"/>
          <w:szCs w:val="21"/>
        </w:rPr>
      </w:pPr>
      <w:r>
        <w:rPr>
          <w:rFonts w:hint="eastAsia" w:ascii="宋体" w:hAnsi="宋体"/>
          <w:szCs w:val="21"/>
        </w:rPr>
        <w:t>单价及总价措施项目清单未列的，如投标单位认为实际现场需要的其他措施，则投标单位需将其费用自行考虑在投标总价内，结算时不新增措施项目清单。</w:t>
      </w:r>
    </w:p>
    <w:p w14:paraId="33F9BC59">
      <w:pPr>
        <w:numPr>
          <w:ilvl w:val="0"/>
          <w:numId w:val="3"/>
        </w:numPr>
        <w:spacing w:line="360" w:lineRule="auto"/>
        <w:ind w:firstLine="420" w:firstLineChars="200"/>
        <w:rPr>
          <w:rFonts w:ascii="宋体" w:hAnsi="宋体"/>
          <w:szCs w:val="21"/>
        </w:rPr>
      </w:pPr>
      <w:r>
        <w:rPr>
          <w:rFonts w:hint="eastAsia" w:ascii="宋体" w:hAnsi="宋体"/>
          <w:szCs w:val="21"/>
        </w:rPr>
        <w:t>防火封堵中包含防火泥、防火隔板等均需综合考虑在投标单价中，结算时不调整。</w:t>
      </w:r>
    </w:p>
    <w:p w14:paraId="6148C319">
      <w:pPr>
        <w:numPr>
          <w:ilvl w:val="0"/>
          <w:numId w:val="3"/>
        </w:numPr>
        <w:spacing w:line="360" w:lineRule="auto"/>
        <w:ind w:firstLine="440" w:firstLineChars="200"/>
        <w:rPr>
          <w:rFonts w:ascii="宋体" w:hAnsi="宋体"/>
          <w:szCs w:val="21"/>
        </w:rPr>
      </w:pPr>
      <w:r>
        <w:rPr>
          <w:rFonts w:hint="eastAsia" w:ascii="宋体" w:hAnsi="宋体"/>
          <w:bCs/>
          <w:sz w:val="22"/>
          <w:szCs w:val="22"/>
        </w:rPr>
        <w:t>线缆为乙供，主材价计入综合单价，所有线缆敷设价格（含强电、弱电电缆、矿物质电缆），敷设方式不管在管内、水平桥架、竖直桥架内敷设，结算时价格均不调整。</w:t>
      </w:r>
    </w:p>
    <w:p w14:paraId="33688721">
      <w:pPr>
        <w:numPr>
          <w:ilvl w:val="0"/>
          <w:numId w:val="3"/>
        </w:numPr>
        <w:spacing w:line="360" w:lineRule="auto"/>
        <w:ind w:firstLine="420" w:firstLineChars="200"/>
        <w:rPr>
          <w:rFonts w:hint="eastAsia" w:ascii="宋体" w:hAnsi="宋体"/>
          <w:szCs w:val="21"/>
        </w:rPr>
      </w:pPr>
      <w:r>
        <w:rPr>
          <w:rFonts w:hint="eastAsia" w:ascii="宋体" w:hAnsi="宋体"/>
          <w:szCs w:val="21"/>
        </w:rPr>
        <w:t>各投标单位应到施工现场踏勘，对施工中可能发生的措施费应充分考虑并在投标报价中注明。</w:t>
      </w:r>
    </w:p>
    <w:p w14:paraId="25499854">
      <w:pPr>
        <w:numPr>
          <w:ilvl w:val="0"/>
          <w:numId w:val="3"/>
        </w:numPr>
        <w:spacing w:line="360" w:lineRule="auto"/>
        <w:ind w:firstLine="420" w:firstLineChars="200"/>
        <w:rPr>
          <w:rFonts w:hint="eastAsia" w:ascii="宋体" w:hAnsi="宋体"/>
          <w:szCs w:val="21"/>
        </w:rPr>
      </w:pPr>
      <w:r>
        <w:rPr>
          <w:rFonts w:hint="eastAsia" w:ascii="宋体" w:hAnsi="宋体"/>
          <w:szCs w:val="21"/>
        </w:rPr>
        <w:t>以项为单位的措施费项目总价包干，结算时不再另行调整。</w:t>
      </w:r>
    </w:p>
    <w:p w14:paraId="7B45DB22">
      <w:pPr>
        <w:numPr>
          <w:ilvl w:val="0"/>
          <w:numId w:val="3"/>
        </w:numPr>
        <w:spacing w:line="360" w:lineRule="auto"/>
        <w:ind w:firstLine="420" w:firstLineChars="200"/>
        <w:rPr>
          <w:rFonts w:hint="eastAsia" w:ascii="宋体" w:hAnsi="宋体"/>
          <w:szCs w:val="21"/>
        </w:rPr>
      </w:pPr>
      <w:r>
        <w:rPr>
          <w:rFonts w:hint="eastAsia" w:ascii="宋体" w:hAnsi="宋体"/>
          <w:szCs w:val="21"/>
        </w:rPr>
        <w:t>按独立费计价的项目包含完成该项目除措施费规费税金以外的全部费用，投标单价执行包干综合单价，结算时不予调整。</w:t>
      </w:r>
    </w:p>
    <w:p w14:paraId="4E0052CB">
      <w:pPr>
        <w:numPr>
          <w:ilvl w:val="0"/>
          <w:numId w:val="3"/>
        </w:numPr>
        <w:spacing w:line="360" w:lineRule="auto"/>
        <w:ind w:firstLine="420" w:firstLineChars="200"/>
        <w:rPr>
          <w:rFonts w:hint="eastAsia" w:ascii="宋体" w:hAnsi="宋体"/>
          <w:szCs w:val="21"/>
        </w:rPr>
      </w:pPr>
      <w:r>
        <w:rPr>
          <w:rFonts w:hint="eastAsia" w:ascii="宋体" w:hAnsi="宋体"/>
          <w:szCs w:val="21"/>
        </w:rPr>
        <w:t>废料外运根据现场实际，投标人自行考虑运距、处置及渣土费等全部费用在综合单价中。</w:t>
      </w:r>
    </w:p>
    <w:p w14:paraId="681ACCED">
      <w:pPr>
        <w:numPr>
          <w:ilvl w:val="0"/>
          <w:numId w:val="3"/>
        </w:numPr>
        <w:spacing w:line="360" w:lineRule="auto"/>
        <w:ind w:firstLine="420" w:firstLineChars="200"/>
        <w:rPr>
          <w:rFonts w:hint="eastAsia" w:ascii="宋体" w:hAnsi="宋体"/>
          <w:szCs w:val="21"/>
        </w:rPr>
      </w:pPr>
      <w:r>
        <w:rPr>
          <w:rFonts w:hint="eastAsia" w:ascii="宋体" w:hAnsi="宋体"/>
          <w:szCs w:val="21"/>
        </w:rPr>
        <w:t>混凝土均为商品砼，清单综合单价包括模板养生等工作内容。</w:t>
      </w:r>
    </w:p>
    <w:p w14:paraId="31F07718">
      <w:pPr>
        <w:numPr>
          <w:ilvl w:val="0"/>
          <w:numId w:val="3"/>
        </w:numPr>
        <w:spacing w:line="360" w:lineRule="auto"/>
        <w:ind w:firstLine="420" w:firstLineChars="200"/>
        <w:rPr>
          <w:rFonts w:hint="eastAsia" w:ascii="宋体" w:hAnsi="宋体"/>
          <w:szCs w:val="21"/>
        </w:rPr>
      </w:pPr>
      <w:r>
        <w:rPr>
          <w:rFonts w:hint="eastAsia" w:ascii="宋体" w:hAnsi="宋体"/>
          <w:szCs w:val="21"/>
        </w:rPr>
        <w:t>土方开挖过程中，投标人须保护原有地下管线，避免碰坏原有地下管道。</w:t>
      </w:r>
    </w:p>
    <w:p w14:paraId="46A49ABC">
      <w:pPr>
        <w:numPr>
          <w:numId w:val="0"/>
        </w:numPr>
        <w:spacing w:line="360" w:lineRule="auto"/>
        <w:rPr>
          <w:rFonts w:hint="eastAsia" w:ascii="宋体" w:hAnsi="宋体"/>
          <w:szCs w:val="21"/>
          <w:lang w:val="en-US" w:eastAsia="zh-CN"/>
        </w:rPr>
      </w:pPr>
      <w:bookmarkStart w:id="0" w:name="_GoBack"/>
      <w:bookmarkEnd w:id="0"/>
    </w:p>
    <w:p w14:paraId="4AB26AFB">
      <w:pPr>
        <w:spacing w:line="380" w:lineRule="exact"/>
        <w:rPr>
          <w:rFonts w:ascii="宋体" w:hAnsi="宋体"/>
          <w:bCs/>
          <w:szCs w:val="21"/>
        </w:rPr>
      </w:pPr>
    </w:p>
    <w:tbl>
      <w:tblPr>
        <w:tblStyle w:val="7"/>
        <w:tblW w:w="9278" w:type="dxa"/>
        <w:jc w:val="center"/>
        <w:tblLayout w:type="fixed"/>
        <w:tblCellMar>
          <w:top w:w="0" w:type="dxa"/>
          <w:left w:w="108" w:type="dxa"/>
          <w:bottom w:w="0" w:type="dxa"/>
          <w:right w:w="108" w:type="dxa"/>
        </w:tblCellMar>
      </w:tblPr>
      <w:tblGrid>
        <w:gridCol w:w="620"/>
        <w:gridCol w:w="1980"/>
        <w:gridCol w:w="3500"/>
        <w:gridCol w:w="3178"/>
      </w:tblGrid>
      <w:tr w14:paraId="142E58E5">
        <w:tblPrEx>
          <w:tblCellMar>
            <w:top w:w="0" w:type="dxa"/>
            <w:left w:w="108" w:type="dxa"/>
            <w:bottom w:w="0" w:type="dxa"/>
            <w:right w:w="108" w:type="dxa"/>
          </w:tblCellMar>
        </w:tblPrEx>
        <w:trPr>
          <w:trHeight w:val="585" w:hRule="atLeast"/>
          <w:jc w:val="center"/>
        </w:trPr>
        <w:tc>
          <w:tcPr>
            <w:tcW w:w="620" w:type="dxa"/>
            <w:tcBorders>
              <w:top w:val="single" w:color="auto" w:sz="8" w:space="0"/>
              <w:left w:val="single" w:color="auto" w:sz="8" w:space="0"/>
              <w:bottom w:val="single" w:color="auto" w:sz="4" w:space="0"/>
              <w:right w:val="single" w:color="auto" w:sz="4" w:space="0"/>
            </w:tcBorders>
            <w:vAlign w:val="center"/>
          </w:tcPr>
          <w:p w14:paraId="2EB04E7B">
            <w:pPr>
              <w:widowControl/>
              <w:jc w:val="center"/>
              <w:rPr>
                <w:rFonts w:ascii="宋体" w:hAnsi="宋体" w:cs="宋体"/>
                <w:b/>
                <w:bCs/>
                <w:kern w:val="0"/>
                <w:szCs w:val="21"/>
              </w:rPr>
            </w:pPr>
            <w:r>
              <w:rPr>
                <w:rFonts w:hint="eastAsia" w:ascii="宋体" w:hAnsi="宋体" w:cs="宋体"/>
                <w:b/>
                <w:bCs/>
                <w:kern w:val="0"/>
                <w:szCs w:val="21"/>
              </w:rPr>
              <w:t>序号</w:t>
            </w:r>
          </w:p>
        </w:tc>
        <w:tc>
          <w:tcPr>
            <w:tcW w:w="1980" w:type="dxa"/>
            <w:tcBorders>
              <w:top w:val="single" w:color="auto" w:sz="8" w:space="0"/>
              <w:left w:val="nil"/>
              <w:bottom w:val="single" w:color="auto" w:sz="4" w:space="0"/>
              <w:right w:val="single" w:color="auto" w:sz="4" w:space="0"/>
            </w:tcBorders>
            <w:vAlign w:val="center"/>
          </w:tcPr>
          <w:p w14:paraId="7A395770">
            <w:pPr>
              <w:widowControl/>
              <w:jc w:val="center"/>
              <w:rPr>
                <w:rFonts w:ascii="宋体" w:hAnsi="宋体" w:cs="宋体"/>
                <w:b/>
                <w:bCs/>
                <w:kern w:val="0"/>
                <w:szCs w:val="21"/>
              </w:rPr>
            </w:pPr>
            <w:r>
              <w:rPr>
                <w:rFonts w:hint="eastAsia" w:ascii="宋体" w:hAnsi="宋体" w:cs="宋体"/>
                <w:b/>
                <w:bCs/>
                <w:kern w:val="0"/>
                <w:szCs w:val="21"/>
              </w:rPr>
              <w:t>材料、设备名称</w:t>
            </w:r>
          </w:p>
        </w:tc>
        <w:tc>
          <w:tcPr>
            <w:tcW w:w="3500" w:type="dxa"/>
            <w:tcBorders>
              <w:top w:val="single" w:color="auto" w:sz="8" w:space="0"/>
              <w:left w:val="nil"/>
              <w:bottom w:val="single" w:color="auto" w:sz="4" w:space="0"/>
              <w:right w:val="single" w:color="auto" w:sz="4" w:space="0"/>
            </w:tcBorders>
            <w:vAlign w:val="center"/>
          </w:tcPr>
          <w:p w14:paraId="1492E90A">
            <w:pPr>
              <w:widowControl/>
              <w:jc w:val="center"/>
              <w:rPr>
                <w:rFonts w:ascii="宋体" w:hAnsi="宋体" w:cs="宋体"/>
                <w:b/>
                <w:bCs/>
                <w:kern w:val="0"/>
                <w:szCs w:val="21"/>
              </w:rPr>
            </w:pPr>
            <w:r>
              <w:rPr>
                <w:rFonts w:hint="eastAsia" w:ascii="宋体" w:hAnsi="宋体" w:cs="宋体"/>
                <w:b/>
                <w:bCs/>
                <w:kern w:val="0"/>
                <w:szCs w:val="21"/>
              </w:rPr>
              <w:t>供应厂家和产地</w:t>
            </w:r>
          </w:p>
        </w:tc>
        <w:tc>
          <w:tcPr>
            <w:tcW w:w="3178" w:type="dxa"/>
            <w:tcBorders>
              <w:top w:val="single" w:color="auto" w:sz="8" w:space="0"/>
              <w:left w:val="nil"/>
              <w:bottom w:val="single" w:color="auto" w:sz="4" w:space="0"/>
              <w:right w:val="single" w:color="auto" w:sz="8" w:space="0"/>
            </w:tcBorders>
            <w:vAlign w:val="center"/>
          </w:tcPr>
          <w:p w14:paraId="4F2BB976">
            <w:pPr>
              <w:widowControl/>
              <w:jc w:val="center"/>
              <w:rPr>
                <w:rFonts w:ascii="宋体" w:hAnsi="宋体" w:cs="宋体"/>
                <w:b/>
                <w:bCs/>
                <w:kern w:val="0"/>
                <w:szCs w:val="21"/>
              </w:rPr>
            </w:pPr>
            <w:r>
              <w:rPr>
                <w:rFonts w:hint="eastAsia" w:ascii="宋体" w:hAnsi="宋体" w:cs="宋体"/>
                <w:b/>
                <w:bCs/>
                <w:kern w:val="0"/>
                <w:szCs w:val="21"/>
              </w:rPr>
              <w:t>备注</w:t>
            </w:r>
          </w:p>
        </w:tc>
      </w:tr>
      <w:tr w14:paraId="2CF54149">
        <w:tblPrEx>
          <w:tblCellMar>
            <w:top w:w="0" w:type="dxa"/>
            <w:left w:w="108" w:type="dxa"/>
            <w:bottom w:w="0" w:type="dxa"/>
            <w:right w:w="108" w:type="dxa"/>
          </w:tblCellMar>
        </w:tblPrEx>
        <w:trPr>
          <w:trHeight w:val="675" w:hRule="atLeast"/>
          <w:jc w:val="center"/>
        </w:trPr>
        <w:tc>
          <w:tcPr>
            <w:tcW w:w="620" w:type="dxa"/>
            <w:tcBorders>
              <w:top w:val="nil"/>
              <w:left w:val="single" w:color="auto" w:sz="8" w:space="0"/>
              <w:bottom w:val="single" w:color="auto" w:sz="4" w:space="0"/>
              <w:right w:val="single" w:color="auto" w:sz="4" w:space="0"/>
            </w:tcBorders>
            <w:vAlign w:val="center"/>
          </w:tcPr>
          <w:p w14:paraId="6DCE45B1">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1</w:t>
            </w:r>
          </w:p>
        </w:tc>
        <w:tc>
          <w:tcPr>
            <w:tcW w:w="1980" w:type="dxa"/>
            <w:tcBorders>
              <w:top w:val="nil"/>
              <w:left w:val="nil"/>
              <w:bottom w:val="single" w:color="auto" w:sz="4" w:space="0"/>
              <w:right w:val="single" w:color="auto" w:sz="4" w:space="0"/>
            </w:tcBorders>
            <w:vAlign w:val="center"/>
          </w:tcPr>
          <w:p w14:paraId="623D91A9">
            <w:pPr>
              <w:widowControl/>
              <w:jc w:val="center"/>
              <w:rPr>
                <w:rFonts w:ascii="宋体" w:hAnsi="宋体" w:cs="宋体"/>
                <w:szCs w:val="21"/>
              </w:rPr>
            </w:pPr>
            <w:r>
              <w:rPr>
                <w:rFonts w:hint="eastAsia" w:ascii="宋体" w:hAnsi="宋体" w:cs="宋体"/>
                <w:szCs w:val="21"/>
              </w:rPr>
              <w:t>电线、电缆</w:t>
            </w:r>
          </w:p>
        </w:tc>
        <w:tc>
          <w:tcPr>
            <w:tcW w:w="3500" w:type="dxa"/>
            <w:tcBorders>
              <w:top w:val="nil"/>
              <w:left w:val="nil"/>
              <w:bottom w:val="single" w:color="auto" w:sz="4" w:space="0"/>
              <w:right w:val="single" w:color="auto" w:sz="4" w:space="0"/>
            </w:tcBorders>
            <w:vAlign w:val="center"/>
          </w:tcPr>
          <w:p w14:paraId="667DA165">
            <w:pPr>
              <w:widowControl/>
              <w:jc w:val="center"/>
              <w:rPr>
                <w:rFonts w:ascii="宋体" w:hAnsi="宋体" w:cs="宋体"/>
                <w:szCs w:val="21"/>
              </w:rPr>
            </w:pPr>
            <w:r>
              <w:rPr>
                <w:rFonts w:hint="eastAsia" w:ascii="宋体" w:hAnsi="宋体" w:cs="宋体"/>
                <w:szCs w:val="21"/>
              </w:rPr>
              <w:t>上上、远东、江南、熊猫或同等档次的其他品牌</w:t>
            </w:r>
          </w:p>
        </w:tc>
        <w:tc>
          <w:tcPr>
            <w:tcW w:w="3178" w:type="dxa"/>
            <w:tcBorders>
              <w:top w:val="nil"/>
              <w:left w:val="nil"/>
              <w:bottom w:val="single" w:color="auto" w:sz="4" w:space="0"/>
              <w:right w:val="single" w:color="auto" w:sz="8" w:space="0"/>
            </w:tcBorders>
            <w:vAlign w:val="center"/>
          </w:tcPr>
          <w:p w14:paraId="457E41DD">
            <w:pPr>
              <w:widowControl/>
              <w:jc w:val="center"/>
              <w:rPr>
                <w:rFonts w:ascii="宋体" w:hAnsi="宋体" w:cs="宋体"/>
                <w:szCs w:val="21"/>
              </w:rPr>
            </w:pPr>
            <w:r>
              <w:rPr>
                <w:rFonts w:hint="eastAsia" w:ascii="宋体" w:hAnsi="宋体" w:cs="宋体"/>
                <w:szCs w:val="21"/>
              </w:rPr>
              <w:t>质量符合设计和规范要求</w:t>
            </w:r>
          </w:p>
        </w:tc>
      </w:tr>
      <w:tr w14:paraId="01C07281">
        <w:tblPrEx>
          <w:tblCellMar>
            <w:top w:w="0" w:type="dxa"/>
            <w:left w:w="108" w:type="dxa"/>
            <w:bottom w:w="0" w:type="dxa"/>
            <w:right w:w="108" w:type="dxa"/>
          </w:tblCellMar>
        </w:tblPrEx>
        <w:trPr>
          <w:trHeight w:val="705" w:hRule="atLeast"/>
          <w:jc w:val="center"/>
        </w:trPr>
        <w:tc>
          <w:tcPr>
            <w:tcW w:w="620" w:type="dxa"/>
            <w:tcBorders>
              <w:top w:val="nil"/>
              <w:left w:val="single" w:color="auto" w:sz="8" w:space="0"/>
              <w:bottom w:val="single" w:color="auto" w:sz="4" w:space="0"/>
              <w:right w:val="single" w:color="auto" w:sz="4" w:space="0"/>
            </w:tcBorders>
            <w:vAlign w:val="center"/>
          </w:tcPr>
          <w:p w14:paraId="4786261A">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2</w:t>
            </w:r>
          </w:p>
        </w:tc>
        <w:tc>
          <w:tcPr>
            <w:tcW w:w="1980" w:type="dxa"/>
            <w:tcBorders>
              <w:top w:val="nil"/>
              <w:left w:val="nil"/>
              <w:bottom w:val="single" w:color="auto" w:sz="4" w:space="0"/>
              <w:right w:val="single" w:color="auto" w:sz="4" w:space="0"/>
            </w:tcBorders>
            <w:vAlign w:val="center"/>
          </w:tcPr>
          <w:p w14:paraId="146C6D54">
            <w:pPr>
              <w:widowControl/>
              <w:jc w:val="center"/>
              <w:rPr>
                <w:rFonts w:ascii="宋体" w:hAnsi="宋体" w:cs="宋体"/>
                <w:szCs w:val="21"/>
              </w:rPr>
            </w:pPr>
            <w:r>
              <w:rPr>
                <w:rFonts w:hint="eastAsia" w:ascii="宋体" w:hAnsi="宋体" w:cs="宋体"/>
                <w:szCs w:val="21"/>
              </w:rPr>
              <w:t>电工塑料管等</w:t>
            </w:r>
          </w:p>
        </w:tc>
        <w:tc>
          <w:tcPr>
            <w:tcW w:w="3500" w:type="dxa"/>
            <w:tcBorders>
              <w:top w:val="nil"/>
              <w:left w:val="nil"/>
              <w:bottom w:val="single" w:color="auto" w:sz="4" w:space="0"/>
              <w:right w:val="single" w:color="auto" w:sz="4" w:space="0"/>
            </w:tcBorders>
            <w:vAlign w:val="center"/>
          </w:tcPr>
          <w:p w14:paraId="03FF35E5">
            <w:pPr>
              <w:widowControl/>
              <w:jc w:val="center"/>
              <w:rPr>
                <w:rFonts w:ascii="宋体" w:hAnsi="宋体" w:cs="宋体"/>
                <w:szCs w:val="21"/>
              </w:rPr>
            </w:pPr>
            <w:r>
              <w:rPr>
                <w:rFonts w:hint="eastAsia" w:ascii="宋体" w:hAnsi="宋体" w:cs="宋体"/>
                <w:szCs w:val="21"/>
              </w:rPr>
              <w:t>中财、伟星、公元、永高或同等档次的其他品牌</w:t>
            </w:r>
          </w:p>
        </w:tc>
        <w:tc>
          <w:tcPr>
            <w:tcW w:w="3178" w:type="dxa"/>
            <w:tcBorders>
              <w:top w:val="nil"/>
              <w:left w:val="nil"/>
              <w:bottom w:val="single" w:color="auto" w:sz="4" w:space="0"/>
              <w:right w:val="single" w:color="auto" w:sz="8" w:space="0"/>
            </w:tcBorders>
            <w:vAlign w:val="center"/>
          </w:tcPr>
          <w:p w14:paraId="335C53AB">
            <w:pPr>
              <w:widowControl/>
              <w:jc w:val="center"/>
              <w:rPr>
                <w:rFonts w:ascii="宋体" w:hAnsi="宋体" w:cs="宋体"/>
                <w:szCs w:val="21"/>
              </w:rPr>
            </w:pPr>
            <w:r>
              <w:rPr>
                <w:rFonts w:hint="eastAsia" w:ascii="宋体" w:hAnsi="宋体" w:cs="宋体"/>
                <w:szCs w:val="21"/>
              </w:rPr>
              <w:t>质量符合设计和规范要求</w:t>
            </w:r>
          </w:p>
        </w:tc>
      </w:tr>
    </w:tbl>
    <w:p w14:paraId="218DEAB2">
      <w:pPr>
        <w:spacing w:line="360" w:lineRule="auto"/>
        <w:ind w:firstLine="315" w:firstLineChars="150"/>
        <w:rPr>
          <w:rFonts w:ascii="宋体"/>
          <w:szCs w:val="21"/>
        </w:rPr>
      </w:pPr>
    </w:p>
    <w:p w14:paraId="1C426D96">
      <w:pPr>
        <w:spacing w:line="360" w:lineRule="auto"/>
        <w:rPr>
          <w:rFonts w:ascii="宋体" w:hAnsi="宋体"/>
          <w:szCs w:val="21"/>
        </w:rPr>
      </w:pPr>
    </w:p>
    <w:p w14:paraId="0A85D261">
      <w:pPr>
        <w:pStyle w:val="13"/>
        <w:ind w:left="420" w:firstLine="0" w:firstLineChars="0"/>
        <w:jc w:val="left"/>
      </w:pPr>
    </w:p>
    <w:p w14:paraId="02474B7D">
      <w:pPr>
        <w:spacing w:line="360" w:lineRule="auto"/>
        <w:jc w:val="right"/>
        <w:rPr>
          <w:rFonts w:ascii="宋体" w:hAnsi="宋体"/>
          <w:szCs w:val="21"/>
        </w:rPr>
      </w:pPr>
      <w:r>
        <w:rPr>
          <w:rFonts w:hint="eastAsia" w:ascii="宋体" w:hAnsi="宋体"/>
          <w:szCs w:val="21"/>
        </w:rPr>
        <w:t xml:space="preserve">                                                                 202</w:t>
      </w:r>
      <w:r>
        <w:rPr>
          <w:rFonts w:hint="eastAsia" w:ascii="宋体" w:hAnsi="宋体"/>
          <w:szCs w:val="21"/>
          <w:lang w:val="en-US" w:eastAsia="zh-CN"/>
        </w:rPr>
        <w:t>6</w:t>
      </w:r>
      <w:r>
        <w:rPr>
          <w:rFonts w:hint="eastAsia" w:ascii="宋体" w:hAnsi="宋体"/>
          <w:szCs w:val="21"/>
        </w:rPr>
        <w:t>年</w:t>
      </w:r>
      <w:r>
        <w:rPr>
          <w:rFonts w:hint="eastAsia" w:ascii="宋体" w:hAnsi="宋体"/>
          <w:szCs w:val="21"/>
          <w:lang w:val="en-US" w:eastAsia="zh-CN"/>
        </w:rPr>
        <w:t>2</w:t>
      </w:r>
      <w:r>
        <w:rPr>
          <w:rFonts w:hint="eastAsia" w:ascii="宋体" w:hAnsi="宋体"/>
          <w:szCs w:val="21"/>
        </w:rPr>
        <w:t>月</w:t>
      </w:r>
    </w:p>
    <w:sectPr>
      <w:pgSz w:w="11906" w:h="16838"/>
      <w:pgMar w:top="1440" w:right="1800" w:bottom="82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DD0F3D"/>
    <w:multiLevelType w:val="singleLevel"/>
    <w:tmpl w:val="EBDD0F3D"/>
    <w:lvl w:ilvl="0" w:tentative="0">
      <w:start w:val="1"/>
      <w:numFmt w:val="decimal"/>
      <w:suff w:val="nothing"/>
      <w:lvlText w:val="%1、"/>
      <w:lvlJc w:val="left"/>
    </w:lvl>
  </w:abstractNum>
  <w:abstractNum w:abstractNumId="1">
    <w:nsid w:val="305CB999"/>
    <w:multiLevelType w:val="singleLevel"/>
    <w:tmpl w:val="305CB999"/>
    <w:lvl w:ilvl="0" w:tentative="0">
      <w:start w:val="1"/>
      <w:numFmt w:val="decimal"/>
      <w:suff w:val="nothing"/>
      <w:lvlText w:val="%1、"/>
      <w:lvlJc w:val="left"/>
    </w:lvl>
  </w:abstractNum>
  <w:abstractNum w:abstractNumId="2">
    <w:nsid w:val="68543EA2"/>
    <w:multiLevelType w:val="multilevel"/>
    <w:tmpl w:val="68543EA2"/>
    <w:lvl w:ilvl="0" w:tentative="0">
      <w:start w:val="1"/>
      <w:numFmt w:val="japaneseCounting"/>
      <w:lvlText w:val="%1、"/>
      <w:lvlJc w:val="left"/>
      <w:pPr>
        <w:tabs>
          <w:tab w:val="left" w:pos="660"/>
        </w:tabs>
        <w:ind w:left="660" w:hanging="480"/>
      </w:pPr>
      <w:rPr>
        <w:rFonts w:hint="default"/>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yZWRhYjYxNGMyZmJlMjdmNWNmNzk0NWMwZGJkZWEifQ=="/>
  </w:docVars>
  <w:rsids>
    <w:rsidRoot w:val="00172A27"/>
    <w:rsid w:val="00074168"/>
    <w:rsid w:val="000838C1"/>
    <w:rsid w:val="000A2876"/>
    <w:rsid w:val="000C71DF"/>
    <w:rsid w:val="000D0CA2"/>
    <w:rsid w:val="001237DF"/>
    <w:rsid w:val="00166689"/>
    <w:rsid w:val="001701AB"/>
    <w:rsid w:val="00172A27"/>
    <w:rsid w:val="001753D9"/>
    <w:rsid w:val="001B7EF0"/>
    <w:rsid w:val="001F1045"/>
    <w:rsid w:val="00211969"/>
    <w:rsid w:val="0022616A"/>
    <w:rsid w:val="002313B4"/>
    <w:rsid w:val="00260308"/>
    <w:rsid w:val="00284421"/>
    <w:rsid w:val="002D37E8"/>
    <w:rsid w:val="002D5FA6"/>
    <w:rsid w:val="002E4B70"/>
    <w:rsid w:val="00334A37"/>
    <w:rsid w:val="003A0002"/>
    <w:rsid w:val="004101FB"/>
    <w:rsid w:val="00416C71"/>
    <w:rsid w:val="00475B8C"/>
    <w:rsid w:val="004913BA"/>
    <w:rsid w:val="004D2CD4"/>
    <w:rsid w:val="00523E9B"/>
    <w:rsid w:val="00536EE5"/>
    <w:rsid w:val="005426C5"/>
    <w:rsid w:val="0056289E"/>
    <w:rsid w:val="005B326F"/>
    <w:rsid w:val="005F6942"/>
    <w:rsid w:val="00614A8E"/>
    <w:rsid w:val="00623B54"/>
    <w:rsid w:val="00646230"/>
    <w:rsid w:val="006E3B17"/>
    <w:rsid w:val="00703F66"/>
    <w:rsid w:val="007A0719"/>
    <w:rsid w:val="007F33CF"/>
    <w:rsid w:val="008339E6"/>
    <w:rsid w:val="008740F6"/>
    <w:rsid w:val="008A34CD"/>
    <w:rsid w:val="008E349C"/>
    <w:rsid w:val="00915A1B"/>
    <w:rsid w:val="00925F0E"/>
    <w:rsid w:val="00982598"/>
    <w:rsid w:val="009A610A"/>
    <w:rsid w:val="009B4CE3"/>
    <w:rsid w:val="009C1C35"/>
    <w:rsid w:val="009E2849"/>
    <w:rsid w:val="009E3D08"/>
    <w:rsid w:val="00A11669"/>
    <w:rsid w:val="00A479BE"/>
    <w:rsid w:val="00A61B1F"/>
    <w:rsid w:val="00A7146C"/>
    <w:rsid w:val="00AA0652"/>
    <w:rsid w:val="00B221B9"/>
    <w:rsid w:val="00B503F8"/>
    <w:rsid w:val="00BE5F1F"/>
    <w:rsid w:val="00BF7091"/>
    <w:rsid w:val="00C2371E"/>
    <w:rsid w:val="00C37E69"/>
    <w:rsid w:val="00C71210"/>
    <w:rsid w:val="00CC132C"/>
    <w:rsid w:val="00CD2270"/>
    <w:rsid w:val="00CD6BE0"/>
    <w:rsid w:val="00CE03B8"/>
    <w:rsid w:val="00D409D3"/>
    <w:rsid w:val="00D417A0"/>
    <w:rsid w:val="00D74A32"/>
    <w:rsid w:val="00D962C5"/>
    <w:rsid w:val="00DA6DB6"/>
    <w:rsid w:val="00E53570"/>
    <w:rsid w:val="00E71DD1"/>
    <w:rsid w:val="00EA543A"/>
    <w:rsid w:val="00EE6E53"/>
    <w:rsid w:val="00EF234D"/>
    <w:rsid w:val="00F15873"/>
    <w:rsid w:val="00F20B87"/>
    <w:rsid w:val="00F445FD"/>
    <w:rsid w:val="00F81861"/>
    <w:rsid w:val="00F92C74"/>
    <w:rsid w:val="00F95EF7"/>
    <w:rsid w:val="00FB5C07"/>
    <w:rsid w:val="01183542"/>
    <w:rsid w:val="01CC1F7A"/>
    <w:rsid w:val="01D70516"/>
    <w:rsid w:val="02CF6619"/>
    <w:rsid w:val="032919EF"/>
    <w:rsid w:val="039C2B03"/>
    <w:rsid w:val="040019C1"/>
    <w:rsid w:val="04862C79"/>
    <w:rsid w:val="05AE24F2"/>
    <w:rsid w:val="066920C6"/>
    <w:rsid w:val="066D09CB"/>
    <w:rsid w:val="069806E5"/>
    <w:rsid w:val="07326BB4"/>
    <w:rsid w:val="075B3E4D"/>
    <w:rsid w:val="075C4A1F"/>
    <w:rsid w:val="076F746F"/>
    <w:rsid w:val="07A41811"/>
    <w:rsid w:val="07B81A73"/>
    <w:rsid w:val="08340322"/>
    <w:rsid w:val="09212078"/>
    <w:rsid w:val="096D3CDF"/>
    <w:rsid w:val="0A0A1957"/>
    <w:rsid w:val="0A791B86"/>
    <w:rsid w:val="0C1E725E"/>
    <w:rsid w:val="0CA66AD6"/>
    <w:rsid w:val="0E187F38"/>
    <w:rsid w:val="0ED331A3"/>
    <w:rsid w:val="0F0D2995"/>
    <w:rsid w:val="0F212310"/>
    <w:rsid w:val="10566C39"/>
    <w:rsid w:val="11156435"/>
    <w:rsid w:val="11DA190E"/>
    <w:rsid w:val="120A7645"/>
    <w:rsid w:val="12AF21A0"/>
    <w:rsid w:val="13354449"/>
    <w:rsid w:val="13943C37"/>
    <w:rsid w:val="13C96C87"/>
    <w:rsid w:val="13F87B9A"/>
    <w:rsid w:val="161B5974"/>
    <w:rsid w:val="16E47648"/>
    <w:rsid w:val="16E922CE"/>
    <w:rsid w:val="172D45AD"/>
    <w:rsid w:val="17970A36"/>
    <w:rsid w:val="17A92EDD"/>
    <w:rsid w:val="17D7375C"/>
    <w:rsid w:val="17D91A87"/>
    <w:rsid w:val="17DA45E9"/>
    <w:rsid w:val="17E265E0"/>
    <w:rsid w:val="17E86BE0"/>
    <w:rsid w:val="181C1799"/>
    <w:rsid w:val="1A0B09BD"/>
    <w:rsid w:val="1A107B5C"/>
    <w:rsid w:val="1A6A58AA"/>
    <w:rsid w:val="1B025738"/>
    <w:rsid w:val="1B25427A"/>
    <w:rsid w:val="1B374675"/>
    <w:rsid w:val="1B3B3111"/>
    <w:rsid w:val="1BAF29DC"/>
    <w:rsid w:val="1BEE1DE7"/>
    <w:rsid w:val="1C0B69B6"/>
    <w:rsid w:val="1C1D3B2F"/>
    <w:rsid w:val="1C3A3250"/>
    <w:rsid w:val="1CCF10CF"/>
    <w:rsid w:val="1CDE6EA9"/>
    <w:rsid w:val="1DF97454"/>
    <w:rsid w:val="1E2B7E81"/>
    <w:rsid w:val="1E61313E"/>
    <w:rsid w:val="1F756732"/>
    <w:rsid w:val="1FF82839"/>
    <w:rsid w:val="201553C0"/>
    <w:rsid w:val="22675C5E"/>
    <w:rsid w:val="227617FB"/>
    <w:rsid w:val="23082AB9"/>
    <w:rsid w:val="23FB27CE"/>
    <w:rsid w:val="25111D6D"/>
    <w:rsid w:val="26465BF5"/>
    <w:rsid w:val="27206A75"/>
    <w:rsid w:val="27437B18"/>
    <w:rsid w:val="279632DC"/>
    <w:rsid w:val="27EB36F2"/>
    <w:rsid w:val="2869322C"/>
    <w:rsid w:val="292D0604"/>
    <w:rsid w:val="295760F6"/>
    <w:rsid w:val="2A1413AE"/>
    <w:rsid w:val="2A4B2B8E"/>
    <w:rsid w:val="2AD17490"/>
    <w:rsid w:val="2AED0E8E"/>
    <w:rsid w:val="2BAE7C4F"/>
    <w:rsid w:val="2D9D3F5F"/>
    <w:rsid w:val="2E382AB8"/>
    <w:rsid w:val="2E3832A3"/>
    <w:rsid w:val="2F20106E"/>
    <w:rsid w:val="2F450889"/>
    <w:rsid w:val="2F505AE7"/>
    <w:rsid w:val="2F512AB9"/>
    <w:rsid w:val="2F7648E6"/>
    <w:rsid w:val="2FBD46C7"/>
    <w:rsid w:val="2FF73C5A"/>
    <w:rsid w:val="30AF7119"/>
    <w:rsid w:val="30D87159"/>
    <w:rsid w:val="3117630C"/>
    <w:rsid w:val="312B78EE"/>
    <w:rsid w:val="31333D88"/>
    <w:rsid w:val="31477EE5"/>
    <w:rsid w:val="3155236C"/>
    <w:rsid w:val="3249075D"/>
    <w:rsid w:val="32795CAE"/>
    <w:rsid w:val="337A64B0"/>
    <w:rsid w:val="33D5767E"/>
    <w:rsid w:val="33F97699"/>
    <w:rsid w:val="34562D98"/>
    <w:rsid w:val="34B97624"/>
    <w:rsid w:val="356F6B77"/>
    <w:rsid w:val="36117F9E"/>
    <w:rsid w:val="36A66174"/>
    <w:rsid w:val="36E50641"/>
    <w:rsid w:val="370638F2"/>
    <w:rsid w:val="37EF3C3A"/>
    <w:rsid w:val="380B5388"/>
    <w:rsid w:val="38FB264F"/>
    <w:rsid w:val="39114408"/>
    <w:rsid w:val="396B142C"/>
    <w:rsid w:val="39DA5756"/>
    <w:rsid w:val="39DA68C1"/>
    <w:rsid w:val="3A0E4448"/>
    <w:rsid w:val="3C1F330B"/>
    <w:rsid w:val="3C54376E"/>
    <w:rsid w:val="3C792325"/>
    <w:rsid w:val="3C907713"/>
    <w:rsid w:val="3D6566C0"/>
    <w:rsid w:val="3DA46547"/>
    <w:rsid w:val="3DF612B4"/>
    <w:rsid w:val="3E4520C1"/>
    <w:rsid w:val="3EB6232F"/>
    <w:rsid w:val="3F061633"/>
    <w:rsid w:val="3F066A5C"/>
    <w:rsid w:val="3F0E5724"/>
    <w:rsid w:val="3F237BF6"/>
    <w:rsid w:val="3F485BD7"/>
    <w:rsid w:val="40266728"/>
    <w:rsid w:val="40544638"/>
    <w:rsid w:val="40A012EA"/>
    <w:rsid w:val="40F9406B"/>
    <w:rsid w:val="414E7C85"/>
    <w:rsid w:val="420B1828"/>
    <w:rsid w:val="42F20D88"/>
    <w:rsid w:val="44227EAE"/>
    <w:rsid w:val="446A7652"/>
    <w:rsid w:val="45873C35"/>
    <w:rsid w:val="45D35CFF"/>
    <w:rsid w:val="460B7476"/>
    <w:rsid w:val="46771312"/>
    <w:rsid w:val="46BE3A6B"/>
    <w:rsid w:val="46BF5678"/>
    <w:rsid w:val="48B77DC2"/>
    <w:rsid w:val="491A62F4"/>
    <w:rsid w:val="49865435"/>
    <w:rsid w:val="49B83022"/>
    <w:rsid w:val="49C046C0"/>
    <w:rsid w:val="4A383BD3"/>
    <w:rsid w:val="4ABD548E"/>
    <w:rsid w:val="4B9B5552"/>
    <w:rsid w:val="4BDF433C"/>
    <w:rsid w:val="4C333C51"/>
    <w:rsid w:val="4C8109BA"/>
    <w:rsid w:val="4CA625CF"/>
    <w:rsid w:val="4CA77E82"/>
    <w:rsid w:val="4CC154B2"/>
    <w:rsid w:val="4D031BE1"/>
    <w:rsid w:val="4D2F71E7"/>
    <w:rsid w:val="4E6E3253"/>
    <w:rsid w:val="4ED35322"/>
    <w:rsid w:val="4F5462B4"/>
    <w:rsid w:val="4FF23121"/>
    <w:rsid w:val="50D40833"/>
    <w:rsid w:val="51DA3710"/>
    <w:rsid w:val="525866F7"/>
    <w:rsid w:val="52810546"/>
    <w:rsid w:val="52B84C43"/>
    <w:rsid w:val="52D42F27"/>
    <w:rsid w:val="53B117C2"/>
    <w:rsid w:val="53D42B46"/>
    <w:rsid w:val="544530D6"/>
    <w:rsid w:val="54E256BD"/>
    <w:rsid w:val="54F5560E"/>
    <w:rsid w:val="558E6117"/>
    <w:rsid w:val="55B040F8"/>
    <w:rsid w:val="55BA78C5"/>
    <w:rsid w:val="55C2064C"/>
    <w:rsid w:val="55D10DEC"/>
    <w:rsid w:val="55FC25A2"/>
    <w:rsid w:val="56713498"/>
    <w:rsid w:val="56AE72EA"/>
    <w:rsid w:val="56B155BA"/>
    <w:rsid w:val="56FC61BC"/>
    <w:rsid w:val="57220966"/>
    <w:rsid w:val="57257989"/>
    <w:rsid w:val="57272798"/>
    <w:rsid w:val="574B11BF"/>
    <w:rsid w:val="583D5EE5"/>
    <w:rsid w:val="58BF28D7"/>
    <w:rsid w:val="58CD097E"/>
    <w:rsid w:val="597B2ED3"/>
    <w:rsid w:val="59952BC3"/>
    <w:rsid w:val="599721D6"/>
    <w:rsid w:val="5AA96A69"/>
    <w:rsid w:val="5AFB63EF"/>
    <w:rsid w:val="5C0312EA"/>
    <w:rsid w:val="5CCD6FA4"/>
    <w:rsid w:val="5CD92CE6"/>
    <w:rsid w:val="5DBF7494"/>
    <w:rsid w:val="5DEB4975"/>
    <w:rsid w:val="5E660F32"/>
    <w:rsid w:val="5FB13BF9"/>
    <w:rsid w:val="5FDF4842"/>
    <w:rsid w:val="60304C19"/>
    <w:rsid w:val="615C4828"/>
    <w:rsid w:val="61E1021C"/>
    <w:rsid w:val="62812C3F"/>
    <w:rsid w:val="62B20C98"/>
    <w:rsid w:val="643416F6"/>
    <w:rsid w:val="64F049CD"/>
    <w:rsid w:val="650E69F3"/>
    <w:rsid w:val="65892E54"/>
    <w:rsid w:val="65FC33BF"/>
    <w:rsid w:val="661D24FF"/>
    <w:rsid w:val="664B3FAC"/>
    <w:rsid w:val="669F5647"/>
    <w:rsid w:val="66C06967"/>
    <w:rsid w:val="672546FD"/>
    <w:rsid w:val="680816E4"/>
    <w:rsid w:val="68420E55"/>
    <w:rsid w:val="686223DD"/>
    <w:rsid w:val="68964E17"/>
    <w:rsid w:val="68C03F93"/>
    <w:rsid w:val="68D76542"/>
    <w:rsid w:val="69094AFB"/>
    <w:rsid w:val="690B6F9D"/>
    <w:rsid w:val="692E2E33"/>
    <w:rsid w:val="69BB53D7"/>
    <w:rsid w:val="69BF4C89"/>
    <w:rsid w:val="69CD1F1D"/>
    <w:rsid w:val="69D547CE"/>
    <w:rsid w:val="69D97773"/>
    <w:rsid w:val="6A8D76A9"/>
    <w:rsid w:val="6A9F057A"/>
    <w:rsid w:val="6B523C7F"/>
    <w:rsid w:val="6BBF0B0F"/>
    <w:rsid w:val="6E5F6442"/>
    <w:rsid w:val="6E85086A"/>
    <w:rsid w:val="6E903151"/>
    <w:rsid w:val="6EF00709"/>
    <w:rsid w:val="70502B58"/>
    <w:rsid w:val="709836F6"/>
    <w:rsid w:val="709C1ABD"/>
    <w:rsid w:val="712C026B"/>
    <w:rsid w:val="71D3021D"/>
    <w:rsid w:val="71E163A2"/>
    <w:rsid w:val="71FF48C2"/>
    <w:rsid w:val="72355BF2"/>
    <w:rsid w:val="7294672D"/>
    <w:rsid w:val="73B7383E"/>
    <w:rsid w:val="744F4B57"/>
    <w:rsid w:val="74A86D6E"/>
    <w:rsid w:val="74B36313"/>
    <w:rsid w:val="74D36CD9"/>
    <w:rsid w:val="74DA3A1A"/>
    <w:rsid w:val="750A05EE"/>
    <w:rsid w:val="75307B4D"/>
    <w:rsid w:val="75466E7D"/>
    <w:rsid w:val="75915154"/>
    <w:rsid w:val="759E6137"/>
    <w:rsid w:val="76996C55"/>
    <w:rsid w:val="784D76F7"/>
    <w:rsid w:val="7AA96614"/>
    <w:rsid w:val="7B4B73EF"/>
    <w:rsid w:val="7BA11435"/>
    <w:rsid w:val="7C3E0D7B"/>
    <w:rsid w:val="7CDE1173"/>
    <w:rsid w:val="7CE87BEC"/>
    <w:rsid w:val="7D154378"/>
    <w:rsid w:val="7D3278C1"/>
    <w:rsid w:val="7DC3283F"/>
    <w:rsid w:val="7E265D97"/>
    <w:rsid w:val="7F1E11DC"/>
    <w:rsid w:val="7F2D35CE"/>
    <w:rsid w:val="7F661EA3"/>
    <w:rsid w:val="7F7774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widowControl/>
      <w:tabs>
        <w:tab w:val="left" w:pos="0"/>
        <w:tab w:val="left" w:pos="993"/>
        <w:tab w:val="left" w:pos="1134"/>
      </w:tabs>
      <w:spacing w:line="500" w:lineRule="exact"/>
      <w:ind w:firstLine="567"/>
    </w:pPr>
    <w:rPr>
      <w:rFonts w:ascii="宋体"/>
      <w:kern w:val="0"/>
      <w:sz w:val="28"/>
      <w:szCs w:val="20"/>
    </w:rPr>
  </w:style>
  <w:style w:type="paragraph" w:styleId="3">
    <w:name w:val="Date"/>
    <w:basedOn w:val="1"/>
    <w:next w:val="1"/>
    <w:link w:val="12"/>
    <w:autoRedefine/>
    <w:qFormat/>
    <w:uiPriority w:val="0"/>
    <w:pPr>
      <w:ind w:left="100" w:leftChars="2500"/>
    </w:p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99"/>
    <w:pPr>
      <w:spacing w:beforeAutospacing="1" w:afterAutospacing="1"/>
      <w:jc w:val="left"/>
    </w:pPr>
    <w:rPr>
      <w:kern w:val="0"/>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autoRedefine/>
    <w:qFormat/>
    <w:uiPriority w:val="0"/>
    <w:rPr>
      <w:rFonts w:hint="eastAsia" w:ascii="宋体" w:hAnsi="宋体" w:eastAsia="宋体" w:cs="宋体"/>
      <w:color w:val="000000"/>
      <w:sz w:val="24"/>
      <w:szCs w:val="24"/>
      <w:u w:val="none"/>
    </w:rPr>
  </w:style>
  <w:style w:type="character" w:customStyle="1" w:styleId="11">
    <w:name w:val="页眉 字符"/>
    <w:basedOn w:val="9"/>
    <w:link w:val="5"/>
    <w:autoRedefine/>
    <w:qFormat/>
    <w:uiPriority w:val="0"/>
    <w:rPr>
      <w:kern w:val="2"/>
      <w:sz w:val="18"/>
      <w:szCs w:val="18"/>
    </w:rPr>
  </w:style>
  <w:style w:type="character" w:customStyle="1" w:styleId="12">
    <w:name w:val="日期 字符"/>
    <w:basedOn w:val="9"/>
    <w:link w:val="3"/>
    <w:autoRedefine/>
    <w:qFormat/>
    <w:uiPriority w:val="0"/>
    <w:rPr>
      <w:kern w:val="2"/>
      <w:sz w:val="21"/>
      <w:szCs w:val="24"/>
    </w:rPr>
  </w:style>
  <w:style w:type="paragraph" w:styleId="13">
    <w:name w:val="List Paragraph"/>
    <w:basedOn w:val="1"/>
    <w:autoRedefine/>
    <w:qFormat/>
    <w:uiPriority w:val="99"/>
    <w:pPr>
      <w:ind w:firstLine="420" w:firstLineChars="200"/>
    </w:pPr>
  </w:style>
  <w:style w:type="character" w:customStyle="1" w:styleId="14">
    <w:name w:val="UserStyle_3"/>
    <w:autoRedefine/>
    <w:qFormat/>
    <w:uiPriority w:val="0"/>
    <w:rPr>
      <w:rFonts w:ascii="Times New Roman" w:hAnsi="Times New Roman" w:eastAsia="宋体" w:cs="Times New Roman"/>
      <w:kern w:val="2"/>
      <w:sz w:val="21"/>
      <w:szCs w:val="24"/>
      <w:lang w:val="en-US" w:eastAsia="zh-CN" w:bidi="ar-SA"/>
    </w:rPr>
  </w:style>
  <w:style w:type="character" w:customStyle="1" w:styleId="15">
    <w:name w:val="NormalCharacter"/>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C2E83-F15A-4B05-9902-47D26349DBBE}">
  <ds:schemaRefs/>
</ds:datastoreItem>
</file>

<file path=docProps/app.xml><?xml version="1.0" encoding="utf-8"?>
<Properties xmlns="http://schemas.openxmlformats.org/officeDocument/2006/extended-properties" xmlns:vt="http://schemas.openxmlformats.org/officeDocument/2006/docPropsVTypes">
  <Template>Normal</Template>
  <Pages>2</Pages>
  <Words>2287</Words>
  <Characters>2396</Characters>
  <Lines>51</Lines>
  <Paragraphs>14</Paragraphs>
  <TotalTime>1</TotalTime>
  <ScaleCrop>false</ScaleCrop>
  <LinksUpToDate>false</LinksUpToDate>
  <CharactersWithSpaces>2465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2017-03-13T01:31:00Z</dcterms:created>
  <dc:creator>Administrator</dc:creator>
  <cp:lastModifiedBy>Jiahuan.L</cp:lastModifiedBy>
  <dcterms:modified xsi:type="dcterms:W3CDTF">2026-02-03T08:14:02Z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92020CD9D8B643BE979F5DF02B4AD8DC</vt:lpwstr>
  </property>
  <property fmtid="{D5CDD505-2E9C-101B-9397-08002B2CF9AE}" pid="4" name="KSOTemplateDocerSaveRecord">
    <vt:lpwstr>eyJoZGlkIjoiYTNmMTNjMjRjNjMyZjkwZjM1ZDE5OGYzYmE3YTZhNjciLCJ1c2VySWQiOiIxNjU2MTQ3OTY2In0=</vt:lpwstr>
  </property>
</Properties>
</file>