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A3352">
      <w:pPr>
        <w:pStyle w:val="11"/>
        <w:snapToGrid w:val="0"/>
        <w:jc w:val="center"/>
        <w:rPr>
          <w:rFonts w:ascii="Times New Roman" w:hAnsi="Times New Roman" w:eastAsia="黑体" w:cs="Times New Roman"/>
          <w:b/>
          <w:bCs/>
          <w:spacing w:val="80"/>
          <w:sz w:val="48"/>
          <w:szCs w:val="48"/>
        </w:rPr>
      </w:pPr>
    </w:p>
    <w:p w14:paraId="7D92022C">
      <w:pPr>
        <w:rPr>
          <w:sz w:val="44"/>
          <w:szCs w:val="44"/>
        </w:rPr>
      </w:pPr>
    </w:p>
    <w:p w14:paraId="05B96AAA">
      <w:pPr>
        <w:spacing w:line="680" w:lineRule="exact"/>
        <w:jc w:val="center"/>
        <w:rPr>
          <w:sz w:val="44"/>
          <w:szCs w:val="44"/>
        </w:rPr>
      </w:pPr>
      <w:r>
        <w:rPr>
          <w:sz w:val="52"/>
          <w:szCs w:val="52"/>
        </w:rPr>
        <w:t xml:space="preserve"> </w:t>
      </w:r>
    </w:p>
    <w:p w14:paraId="57FFB8BB">
      <w:pPr>
        <w:pStyle w:val="40"/>
        <w:rPr>
          <w:rFonts w:ascii="Times New Roman" w:cs="Times New Roman"/>
          <w:sz w:val="44"/>
          <w:szCs w:val="44"/>
        </w:rPr>
      </w:pPr>
    </w:p>
    <w:p w14:paraId="44807515">
      <w:pPr>
        <w:pStyle w:val="40"/>
        <w:rPr>
          <w:rFonts w:ascii="Times New Roman" w:cs="Times New Roman"/>
          <w:sz w:val="44"/>
          <w:szCs w:val="44"/>
        </w:rPr>
      </w:pPr>
    </w:p>
    <w:p w14:paraId="3EA38E6E">
      <w:pPr>
        <w:spacing w:line="680" w:lineRule="exact"/>
        <w:jc w:val="center"/>
        <w:rPr>
          <w:rFonts w:hint="eastAsia" w:eastAsia="宋体"/>
          <w:sz w:val="52"/>
          <w:szCs w:val="52"/>
          <w:lang w:eastAsia="zh-CN"/>
        </w:rPr>
      </w:pPr>
      <w:r>
        <w:rPr>
          <w:rFonts w:hint="eastAsia"/>
          <w:sz w:val="52"/>
          <w:szCs w:val="52"/>
          <w:lang w:eastAsia="zh-CN"/>
        </w:rPr>
        <w:t>综合楼二楼会议室大屏幕及配套会议设备</w:t>
      </w:r>
    </w:p>
    <w:p w14:paraId="3929D758">
      <w:pPr>
        <w:spacing w:line="680" w:lineRule="exact"/>
        <w:jc w:val="center"/>
        <w:rPr>
          <w:sz w:val="44"/>
          <w:szCs w:val="44"/>
        </w:rPr>
      </w:pPr>
    </w:p>
    <w:p w14:paraId="42685F1F">
      <w:pPr>
        <w:spacing w:line="680" w:lineRule="exact"/>
        <w:jc w:val="center"/>
        <w:rPr>
          <w:sz w:val="44"/>
          <w:szCs w:val="44"/>
        </w:rPr>
      </w:pPr>
    </w:p>
    <w:p w14:paraId="0CE7E863">
      <w:pPr>
        <w:spacing w:line="680" w:lineRule="exact"/>
        <w:jc w:val="center"/>
        <w:rPr>
          <w:sz w:val="44"/>
          <w:szCs w:val="44"/>
        </w:rPr>
      </w:pPr>
      <w:r>
        <w:rPr>
          <w:sz w:val="44"/>
          <w:szCs w:val="44"/>
        </w:rPr>
        <w:t>询价采购文件</w:t>
      </w:r>
    </w:p>
    <w:p w14:paraId="48C91283">
      <w:pPr>
        <w:spacing w:line="680" w:lineRule="exact"/>
        <w:jc w:val="center"/>
        <w:rPr>
          <w:sz w:val="44"/>
          <w:szCs w:val="44"/>
        </w:rPr>
      </w:pPr>
    </w:p>
    <w:p w14:paraId="5C035CFC">
      <w:pPr>
        <w:spacing w:line="680" w:lineRule="exact"/>
        <w:jc w:val="center"/>
        <w:rPr>
          <w:rFonts w:hint="eastAsia" w:eastAsia="宋体"/>
          <w:sz w:val="32"/>
          <w:szCs w:val="32"/>
          <w:lang w:eastAsia="zh-CN"/>
        </w:rPr>
      </w:pPr>
      <w:r>
        <w:rPr>
          <w:sz w:val="32"/>
          <w:szCs w:val="32"/>
        </w:rPr>
        <w:t>项目编号：</w:t>
      </w:r>
      <w:r>
        <w:rPr>
          <w:rFonts w:hint="eastAsia"/>
          <w:sz w:val="32"/>
          <w:szCs w:val="32"/>
          <w:lang w:eastAsia="zh-CN"/>
        </w:rPr>
        <w:t xml:space="preserve">恒卓采询（2026）002号 </w:t>
      </w:r>
    </w:p>
    <w:p w14:paraId="3199993A">
      <w:pPr>
        <w:spacing w:line="680" w:lineRule="exact"/>
        <w:jc w:val="center"/>
        <w:rPr>
          <w:sz w:val="44"/>
          <w:szCs w:val="44"/>
        </w:rPr>
      </w:pPr>
    </w:p>
    <w:p w14:paraId="1CEE261B">
      <w:pPr>
        <w:spacing w:line="680" w:lineRule="exact"/>
        <w:jc w:val="center"/>
        <w:rPr>
          <w:sz w:val="44"/>
          <w:szCs w:val="44"/>
        </w:rPr>
      </w:pPr>
    </w:p>
    <w:p w14:paraId="1E436F96">
      <w:pPr>
        <w:spacing w:line="680" w:lineRule="exact"/>
        <w:rPr>
          <w:sz w:val="44"/>
          <w:szCs w:val="44"/>
        </w:rPr>
      </w:pPr>
    </w:p>
    <w:p w14:paraId="771B0876">
      <w:pPr>
        <w:spacing w:line="480" w:lineRule="exact"/>
        <w:ind w:firstLine="750" w:firstLineChars="250"/>
        <w:rPr>
          <w:sz w:val="30"/>
          <w:szCs w:val="30"/>
        </w:rPr>
      </w:pPr>
    </w:p>
    <w:p w14:paraId="589C4C91">
      <w:pPr>
        <w:spacing w:line="480" w:lineRule="exact"/>
        <w:rPr>
          <w:sz w:val="36"/>
          <w:szCs w:val="36"/>
        </w:rPr>
      </w:pPr>
      <w:r>
        <w:rPr>
          <w:spacing w:val="10"/>
          <w:sz w:val="36"/>
          <w:szCs w:val="36"/>
        </w:rPr>
        <w:t>采</w:t>
      </w:r>
      <w:r>
        <w:rPr>
          <w:sz w:val="36"/>
          <w:szCs w:val="36"/>
        </w:rPr>
        <w:t>购单位：</w:t>
      </w:r>
      <w:r>
        <w:rPr>
          <w:rFonts w:hint="eastAsia"/>
          <w:sz w:val="36"/>
          <w:szCs w:val="36"/>
        </w:rPr>
        <w:t>江苏中吴常高新环保产业有限公司</w:t>
      </w:r>
    </w:p>
    <w:p w14:paraId="729CAEBD">
      <w:pPr>
        <w:spacing w:line="480" w:lineRule="exact"/>
        <w:rPr>
          <w:sz w:val="36"/>
          <w:szCs w:val="36"/>
        </w:rPr>
      </w:pPr>
    </w:p>
    <w:p w14:paraId="6AE55FBF">
      <w:pPr>
        <w:spacing w:line="480" w:lineRule="exact"/>
        <w:rPr>
          <w:sz w:val="36"/>
          <w:szCs w:val="36"/>
        </w:rPr>
      </w:pPr>
      <w:r>
        <w:rPr>
          <w:sz w:val="36"/>
          <w:szCs w:val="36"/>
        </w:rPr>
        <w:t>采购代理机构：</w:t>
      </w:r>
      <w:r>
        <w:rPr>
          <w:rFonts w:hint="eastAsia"/>
          <w:sz w:val="36"/>
          <w:szCs w:val="36"/>
        </w:rPr>
        <w:t>江苏恒卓工程管理咨询有限公司</w:t>
      </w:r>
    </w:p>
    <w:p w14:paraId="305F62E2">
      <w:pPr>
        <w:jc w:val="center"/>
        <w:rPr>
          <w:sz w:val="36"/>
          <w:szCs w:val="36"/>
        </w:rPr>
      </w:pPr>
    </w:p>
    <w:p w14:paraId="6C71E756">
      <w:pPr>
        <w:jc w:val="center"/>
        <w:rPr>
          <w:sz w:val="44"/>
          <w:szCs w:val="44"/>
        </w:rPr>
      </w:pPr>
    </w:p>
    <w:p w14:paraId="5C49667C">
      <w:pPr>
        <w:jc w:val="center"/>
        <w:rPr>
          <w:w w:val="90"/>
          <w:sz w:val="36"/>
          <w:szCs w:val="36"/>
        </w:rPr>
      </w:pPr>
      <w:r>
        <w:rPr>
          <w:w w:val="90"/>
          <w:sz w:val="36"/>
          <w:szCs w:val="36"/>
        </w:rPr>
        <w:t>二〇二</w:t>
      </w:r>
      <w:r>
        <w:rPr>
          <w:rFonts w:hint="eastAsia"/>
          <w:w w:val="90"/>
          <w:sz w:val="36"/>
          <w:szCs w:val="36"/>
          <w:lang w:val="en-US" w:eastAsia="zh-CN"/>
        </w:rPr>
        <w:t>六</w:t>
      </w:r>
      <w:r>
        <w:rPr>
          <w:w w:val="90"/>
          <w:sz w:val="36"/>
          <w:szCs w:val="36"/>
        </w:rPr>
        <w:t>年</w:t>
      </w:r>
      <w:r>
        <w:rPr>
          <w:rFonts w:hint="eastAsia"/>
          <w:w w:val="90"/>
          <w:sz w:val="36"/>
          <w:szCs w:val="36"/>
          <w:lang w:val="en-US" w:eastAsia="zh-CN"/>
        </w:rPr>
        <w:t>一</w:t>
      </w:r>
      <w:r>
        <w:rPr>
          <w:w w:val="90"/>
          <w:sz w:val="36"/>
          <w:szCs w:val="36"/>
        </w:rPr>
        <w:t>月</w:t>
      </w:r>
    </w:p>
    <w:p w14:paraId="5CC8FC9B">
      <w:pPr>
        <w:jc w:val="center"/>
        <w:rPr>
          <w:b/>
          <w:bCs/>
          <w:sz w:val="24"/>
        </w:rPr>
      </w:pPr>
    </w:p>
    <w:p w14:paraId="30B6AA55">
      <w:pPr>
        <w:spacing w:line="360" w:lineRule="auto"/>
        <w:jc w:val="center"/>
        <w:rPr>
          <w:b/>
          <w:bCs/>
          <w:sz w:val="32"/>
          <w:szCs w:val="32"/>
        </w:rPr>
      </w:pPr>
    </w:p>
    <w:p w14:paraId="3D4945E0">
      <w:pPr>
        <w:spacing w:line="360" w:lineRule="auto"/>
        <w:jc w:val="center"/>
        <w:rPr>
          <w:sz w:val="32"/>
          <w:szCs w:val="32"/>
        </w:rPr>
      </w:pPr>
      <w:r>
        <w:rPr>
          <w:rFonts w:hint="eastAsia"/>
          <w:b/>
          <w:bCs/>
          <w:sz w:val="32"/>
          <w:szCs w:val="32"/>
          <w:lang w:eastAsia="zh-CN"/>
        </w:rPr>
        <w:t>综合楼二楼会议室大屏幕及配套会议设备</w:t>
      </w:r>
      <w:r>
        <w:rPr>
          <w:b/>
          <w:bCs/>
          <w:sz w:val="32"/>
          <w:szCs w:val="32"/>
        </w:rPr>
        <w:t>询价公告</w:t>
      </w:r>
    </w:p>
    <w:p w14:paraId="33D91F5A">
      <w:pPr>
        <w:spacing w:line="460" w:lineRule="exact"/>
        <w:ind w:firstLine="420" w:firstLineChars="200"/>
        <w:rPr>
          <w:rFonts w:ascii="宋体" w:hAnsi="宋体" w:cs="宋体"/>
        </w:rPr>
      </w:pPr>
      <w:r>
        <w:rPr>
          <w:rFonts w:hint="eastAsia" w:ascii="宋体" w:hAnsi="宋体" w:cs="宋体"/>
        </w:rPr>
        <w:t>受江苏中吴常高新环保产业有限公司的委托，对</w:t>
      </w:r>
      <w:r>
        <w:rPr>
          <w:rFonts w:hint="eastAsia" w:ascii="宋体" w:hAnsi="宋体" w:cs="宋体"/>
          <w:lang w:eastAsia="zh-CN"/>
        </w:rPr>
        <w:t>综合楼二楼会议室大屏幕及配套会议设备</w:t>
      </w:r>
      <w:r>
        <w:rPr>
          <w:rFonts w:hint="eastAsia" w:ascii="宋体" w:hAnsi="宋体" w:cs="宋体"/>
        </w:rPr>
        <w:t>进行询价采购。特邀请符合条件的供应商参加。</w:t>
      </w:r>
    </w:p>
    <w:p w14:paraId="65918631">
      <w:pPr>
        <w:widowControl/>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一、采购项目内容及技术要求</w:t>
      </w:r>
    </w:p>
    <w:p w14:paraId="1131227F">
      <w:pPr>
        <w:spacing w:line="460" w:lineRule="exact"/>
        <w:ind w:firstLine="420" w:firstLineChars="200"/>
        <w:rPr>
          <w:rFonts w:hint="eastAsia" w:ascii="宋体" w:hAnsi="宋体" w:eastAsia="宋体" w:cs="宋体"/>
          <w:lang w:eastAsia="zh-CN"/>
        </w:rPr>
      </w:pPr>
      <w:r>
        <w:rPr>
          <w:rFonts w:hint="eastAsia" w:ascii="宋体" w:hAnsi="宋体" w:cs="宋体"/>
        </w:rPr>
        <w:t>（一）项目编号：</w:t>
      </w:r>
      <w:r>
        <w:rPr>
          <w:rFonts w:hint="eastAsia" w:ascii="宋体" w:hAnsi="宋体" w:cs="宋体"/>
          <w:lang w:eastAsia="zh-CN"/>
        </w:rPr>
        <w:t xml:space="preserve">恒卓采询（2026）002号 </w:t>
      </w:r>
    </w:p>
    <w:p w14:paraId="7FDDB929">
      <w:pPr>
        <w:spacing w:line="460" w:lineRule="exact"/>
        <w:ind w:firstLine="420" w:firstLineChars="200"/>
        <w:rPr>
          <w:rFonts w:hint="eastAsia" w:ascii="宋体" w:hAnsi="宋体" w:eastAsia="宋体" w:cs="宋体"/>
          <w:highlight w:val="none"/>
          <w:lang w:eastAsia="zh-CN"/>
        </w:rPr>
      </w:pPr>
      <w:r>
        <w:rPr>
          <w:rFonts w:hint="eastAsia" w:ascii="宋体" w:hAnsi="宋体" w:cs="宋体"/>
          <w:highlight w:val="none"/>
        </w:rPr>
        <w:t>（二）项目名称：</w:t>
      </w:r>
      <w:r>
        <w:rPr>
          <w:rFonts w:hint="eastAsia" w:ascii="宋体" w:hAnsi="宋体" w:cs="宋体"/>
          <w:highlight w:val="none"/>
          <w:lang w:eastAsia="zh-CN"/>
        </w:rPr>
        <w:t>综合楼二楼会议室大屏幕及配套会议设备</w:t>
      </w:r>
    </w:p>
    <w:p w14:paraId="4A1CD88B">
      <w:pPr>
        <w:spacing w:line="460" w:lineRule="exact"/>
        <w:ind w:firstLine="422" w:firstLineChars="200"/>
        <w:rPr>
          <w:rFonts w:ascii="宋体" w:hAnsi="宋体" w:cs="宋体"/>
          <w:b/>
          <w:bCs/>
          <w:spacing w:val="2"/>
          <w:szCs w:val="21"/>
          <w:highlight w:val="none"/>
        </w:rPr>
      </w:pPr>
      <w:r>
        <w:rPr>
          <w:rFonts w:hint="eastAsia" w:ascii="宋体" w:hAnsi="宋体" w:cs="宋体"/>
          <w:b/>
          <w:bCs/>
          <w:highlight w:val="none"/>
        </w:rPr>
        <w:t>（三）采购预算/最高限价：</w:t>
      </w:r>
      <w:r>
        <w:rPr>
          <w:rFonts w:hint="eastAsia" w:ascii="宋体" w:hAnsi="宋体" w:cs="宋体"/>
          <w:b/>
          <w:bCs/>
          <w:highlight w:val="none"/>
          <w:lang w:eastAsia="zh-CN"/>
        </w:rPr>
        <w:t>294249.5元</w:t>
      </w:r>
      <w:r>
        <w:rPr>
          <w:rFonts w:hint="eastAsia" w:ascii="宋体" w:hAnsi="宋体" w:cs="宋体"/>
          <w:b/>
          <w:bCs/>
          <w:highlight w:val="none"/>
        </w:rPr>
        <w:t>，</w:t>
      </w:r>
      <w:r>
        <w:rPr>
          <w:rFonts w:hint="eastAsia" w:ascii="宋体" w:hAnsi="宋体" w:cs="宋体"/>
          <w:b/>
          <w:bCs/>
          <w:spacing w:val="2"/>
          <w:szCs w:val="21"/>
          <w:highlight w:val="none"/>
        </w:rPr>
        <w:t>投标报价不得超过最高限价，否则作无效响应处理。</w:t>
      </w:r>
    </w:p>
    <w:p w14:paraId="7A0F597E">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lang w:val="en-US" w:eastAsia="zh-CN"/>
        </w:rPr>
      </w:pPr>
      <w:r>
        <w:rPr>
          <w:rFonts w:hint="eastAsia" w:ascii="宋体" w:hAnsi="宋体" w:cs="宋体"/>
          <w:highlight w:val="none"/>
        </w:rPr>
        <w:t>（四）项目内容：</w:t>
      </w:r>
      <w:r>
        <w:rPr>
          <w:rFonts w:hint="eastAsia" w:ascii="宋体" w:hAnsi="宋体" w:eastAsia="宋体" w:cs="宋体"/>
          <w:szCs w:val="21"/>
          <w:highlight w:val="none"/>
        </w:rPr>
        <w:t>本项目为</w:t>
      </w:r>
      <w:r>
        <w:rPr>
          <w:rFonts w:hint="eastAsia" w:ascii="宋体" w:hAnsi="宋体" w:cs="宋体"/>
          <w:szCs w:val="21"/>
          <w:highlight w:val="none"/>
          <w:lang w:eastAsia="zh-CN"/>
        </w:rPr>
        <w:t>综合楼二楼会议室大屏幕及配套会议设备</w:t>
      </w:r>
      <w:r>
        <w:rPr>
          <w:rFonts w:hint="eastAsia" w:ascii="宋体" w:hAnsi="宋体" w:eastAsia="宋体" w:cs="宋体"/>
          <w:szCs w:val="21"/>
          <w:highlight w:val="none"/>
          <w:lang w:eastAsia="zh-CN"/>
        </w:rPr>
        <w:t>采购</w:t>
      </w:r>
      <w:r>
        <w:rPr>
          <w:rFonts w:hint="eastAsia" w:ascii="宋体" w:hAnsi="宋体" w:eastAsia="宋体" w:cs="宋体"/>
          <w:szCs w:val="21"/>
          <w:highlight w:val="none"/>
        </w:rPr>
        <w:t>，包括但不限于</w:t>
      </w:r>
      <w:r>
        <w:rPr>
          <w:rFonts w:hint="eastAsia" w:ascii="宋体" w:hAnsi="宋体" w:eastAsia="宋体" w:cs="宋体"/>
          <w:szCs w:val="21"/>
          <w:highlight w:val="none"/>
          <w:lang w:val="en-US" w:eastAsia="zh-CN"/>
        </w:rPr>
        <w:t>一块尺寸不小于5.12M*2.88M的LED显示屏及配套控制系统，会议室扩声系统，视频会议系统，以及辅助材料，</w:t>
      </w:r>
      <w:r>
        <w:rPr>
          <w:rFonts w:hint="eastAsia" w:ascii="宋体" w:hAnsi="宋体" w:eastAsia="宋体" w:cs="Times New Roman"/>
          <w:szCs w:val="21"/>
          <w:lang w:val="en-US" w:eastAsia="zh-CN"/>
        </w:rPr>
        <w:t>具体采购内容详见询价文件。</w:t>
      </w:r>
    </w:p>
    <w:p w14:paraId="24723262">
      <w:pPr>
        <w:spacing w:line="460" w:lineRule="exact"/>
        <w:ind w:firstLine="420" w:firstLineChars="200"/>
        <w:rPr>
          <w:rFonts w:hint="eastAsia" w:ascii="宋体" w:hAnsi="宋体" w:eastAsia="宋体" w:cs="宋体"/>
          <w:color w:val="auto"/>
          <w:highlight w:val="none"/>
          <w:lang w:eastAsia="zh-CN"/>
        </w:rPr>
      </w:pPr>
      <w:r>
        <w:rPr>
          <w:rFonts w:hint="eastAsia" w:ascii="宋体" w:hAnsi="宋体" w:cs="宋体"/>
          <w:highlight w:val="none"/>
        </w:rPr>
        <w:t>（五）服务期限：</w:t>
      </w:r>
      <w:r>
        <w:rPr>
          <w:rFonts w:hint="eastAsia" w:ascii="宋体" w:hAnsi="宋体" w:cs="宋体"/>
          <w:highlight w:val="none"/>
          <w:lang w:eastAsia="zh-CN"/>
        </w:rPr>
        <w:t>合同签署后30天以内完成设备的安</w:t>
      </w:r>
      <w:r>
        <w:rPr>
          <w:rFonts w:hint="eastAsia" w:ascii="宋体" w:hAnsi="宋体" w:cs="宋体"/>
          <w:color w:val="auto"/>
          <w:highlight w:val="none"/>
          <w:lang w:eastAsia="zh-CN"/>
        </w:rPr>
        <w:t>装和调试，</w:t>
      </w:r>
      <w:r>
        <w:rPr>
          <w:rFonts w:hint="eastAsia" w:ascii="宋体" w:hAnsi="宋体" w:cs="宋体"/>
          <w:color w:val="auto"/>
          <w:szCs w:val="21"/>
          <w:highlight w:val="none"/>
          <w:lang w:bidi="ar"/>
        </w:rPr>
        <w:t>自验收报告签字确认日起</w:t>
      </w:r>
      <w:r>
        <w:rPr>
          <w:rFonts w:hint="eastAsia" w:ascii="宋体" w:hAnsi="宋体" w:cs="宋体"/>
          <w:color w:val="auto"/>
          <w:szCs w:val="21"/>
          <w:highlight w:val="none"/>
          <w:lang w:val="en-US" w:eastAsia="zh-CN" w:bidi="ar"/>
        </w:rPr>
        <w:t>计算质保期</w:t>
      </w:r>
      <w:r>
        <w:rPr>
          <w:rFonts w:hint="eastAsia" w:ascii="宋体" w:hAnsi="宋体" w:cs="宋体"/>
          <w:color w:val="auto"/>
          <w:szCs w:val="21"/>
          <w:highlight w:val="none"/>
          <w:lang w:bidi="ar"/>
        </w:rPr>
        <w:t>，</w:t>
      </w:r>
      <w:r>
        <w:rPr>
          <w:rFonts w:hint="eastAsia" w:ascii="宋体" w:hAnsi="宋体" w:cs="宋体"/>
          <w:color w:val="auto"/>
          <w:highlight w:val="none"/>
          <w:lang w:eastAsia="zh-CN"/>
        </w:rPr>
        <w:t xml:space="preserve">质保期两年。          </w:t>
      </w:r>
    </w:p>
    <w:p w14:paraId="1B157819">
      <w:pPr>
        <w:spacing w:line="460" w:lineRule="exact"/>
        <w:ind w:firstLine="430" w:firstLineChars="200"/>
        <w:rPr>
          <w:rFonts w:ascii="宋体" w:hAnsi="宋体" w:cs="宋体"/>
          <w:b/>
          <w:bCs/>
          <w:color w:val="auto"/>
          <w:spacing w:val="2"/>
          <w:szCs w:val="21"/>
          <w:highlight w:val="none"/>
        </w:rPr>
      </w:pPr>
      <w:r>
        <w:rPr>
          <w:rFonts w:hint="eastAsia" w:ascii="宋体" w:hAnsi="宋体" w:cs="宋体"/>
          <w:b/>
          <w:bCs/>
          <w:color w:val="auto"/>
          <w:spacing w:val="2"/>
          <w:szCs w:val="21"/>
          <w:highlight w:val="none"/>
        </w:rPr>
        <w:t>（六）本项目不接受联合体投标。</w:t>
      </w:r>
    </w:p>
    <w:p w14:paraId="7685FD19">
      <w:pPr>
        <w:numPr>
          <w:ilvl w:val="0"/>
          <w:numId w:val="1"/>
        </w:numPr>
        <w:spacing w:line="460" w:lineRule="exact"/>
        <w:ind w:firstLine="420" w:firstLineChars="200"/>
        <w:jc w:val="left"/>
        <w:rPr>
          <w:rFonts w:ascii="宋体" w:hAnsi="宋体" w:cs="宋体"/>
          <w:szCs w:val="21"/>
          <w:highlight w:val="none"/>
        </w:rPr>
      </w:pPr>
      <w:r>
        <w:rPr>
          <w:rFonts w:hint="eastAsia" w:ascii="宋体" w:hAnsi="宋体" w:cs="宋体"/>
          <w:szCs w:val="21"/>
          <w:highlight w:val="none"/>
        </w:rPr>
        <w:t xml:space="preserve">对供应商的基本要求： </w:t>
      </w:r>
    </w:p>
    <w:p w14:paraId="75550B68">
      <w:pPr>
        <w:spacing w:line="460" w:lineRule="exact"/>
        <w:ind w:firstLine="420" w:firstLineChars="200"/>
        <w:jc w:val="left"/>
        <w:rPr>
          <w:rFonts w:ascii="宋体" w:hAnsi="宋体" w:cs="宋体"/>
          <w:szCs w:val="21"/>
          <w:highlight w:val="none"/>
        </w:rPr>
      </w:pPr>
      <w:r>
        <w:rPr>
          <w:rFonts w:hint="eastAsia" w:ascii="宋体" w:hAnsi="宋体" w:cs="宋体"/>
          <w:highlight w:val="none"/>
        </w:rPr>
        <w:t>（一）</w:t>
      </w:r>
      <w:r>
        <w:rPr>
          <w:rFonts w:hint="eastAsia" w:ascii="宋体" w:hAnsi="宋体" w:cs="宋体"/>
          <w:szCs w:val="21"/>
          <w:highlight w:val="none"/>
        </w:rPr>
        <w:t>具备《中华人民共和国政府采购法》第二十二条规定条件的法人；</w:t>
      </w:r>
    </w:p>
    <w:p w14:paraId="34728D88">
      <w:pPr>
        <w:spacing w:line="460" w:lineRule="exact"/>
        <w:ind w:firstLine="420" w:firstLineChars="200"/>
        <w:rPr>
          <w:rFonts w:ascii="宋体" w:hAnsi="宋体" w:cs="宋体"/>
          <w:highlight w:val="none"/>
        </w:rPr>
      </w:pPr>
      <w:r>
        <w:rPr>
          <w:rFonts w:hint="eastAsia" w:ascii="宋体" w:hAnsi="宋体" w:cs="宋体"/>
          <w:highlight w:val="none"/>
        </w:rPr>
        <w:t xml:space="preserve">1. 具有独立承担民事责任的能力； </w:t>
      </w:r>
    </w:p>
    <w:p w14:paraId="6E2745D5">
      <w:pPr>
        <w:spacing w:line="460" w:lineRule="exact"/>
        <w:ind w:firstLine="420" w:firstLineChars="200"/>
        <w:rPr>
          <w:rFonts w:ascii="宋体" w:hAnsi="宋体" w:cs="宋体"/>
          <w:highlight w:val="none"/>
        </w:rPr>
      </w:pPr>
      <w:r>
        <w:rPr>
          <w:rFonts w:hint="eastAsia" w:ascii="宋体" w:hAnsi="宋体" w:cs="宋体"/>
          <w:highlight w:val="none"/>
        </w:rPr>
        <w:t xml:space="preserve">2. 具有良好的商业信誉和健全的财务会计制度； </w:t>
      </w:r>
    </w:p>
    <w:p w14:paraId="54109A97">
      <w:pPr>
        <w:spacing w:line="460" w:lineRule="exact"/>
        <w:ind w:firstLine="420" w:firstLineChars="200"/>
        <w:rPr>
          <w:rFonts w:ascii="宋体" w:hAnsi="宋体" w:cs="宋体"/>
        </w:rPr>
      </w:pPr>
      <w:r>
        <w:rPr>
          <w:rFonts w:hint="eastAsia" w:ascii="宋体" w:hAnsi="宋体" w:cs="宋体"/>
        </w:rPr>
        <w:t xml:space="preserve">3. 具有履行合同所必须的设备和专业技术能力； </w:t>
      </w:r>
    </w:p>
    <w:p w14:paraId="445BED6B">
      <w:pPr>
        <w:spacing w:line="460" w:lineRule="exact"/>
        <w:ind w:firstLine="420" w:firstLineChars="200"/>
        <w:rPr>
          <w:rFonts w:ascii="宋体" w:hAnsi="宋体" w:cs="宋体"/>
        </w:rPr>
      </w:pPr>
      <w:r>
        <w:rPr>
          <w:rFonts w:hint="eastAsia" w:ascii="宋体" w:hAnsi="宋体" w:cs="宋体"/>
        </w:rPr>
        <w:t xml:space="preserve">4. 有依法缴纳税收和社会保障资金的良好记录； </w:t>
      </w:r>
    </w:p>
    <w:p w14:paraId="3725D524">
      <w:pPr>
        <w:spacing w:line="460" w:lineRule="exact"/>
        <w:ind w:firstLine="420" w:firstLineChars="200"/>
        <w:rPr>
          <w:rFonts w:ascii="宋体" w:hAnsi="宋体" w:cs="宋体"/>
        </w:rPr>
      </w:pPr>
      <w:r>
        <w:rPr>
          <w:rFonts w:hint="eastAsia" w:ascii="宋体" w:hAnsi="宋体" w:cs="宋体"/>
        </w:rPr>
        <w:t>5. 参加政府采购活动前三年内，在经营活动中没有重大违法记录；</w:t>
      </w:r>
    </w:p>
    <w:p w14:paraId="174E4A15">
      <w:pPr>
        <w:spacing w:line="460" w:lineRule="exact"/>
        <w:ind w:firstLine="420" w:firstLineChars="200"/>
        <w:rPr>
          <w:rFonts w:ascii="宋体" w:hAnsi="宋体" w:cs="宋体"/>
        </w:rPr>
      </w:pPr>
      <w:r>
        <w:rPr>
          <w:rFonts w:hint="eastAsia" w:ascii="宋体" w:hAnsi="宋体" w:cs="宋体"/>
        </w:rPr>
        <w:t>6. 法律、行政法规规定的其他条件</w:t>
      </w:r>
    </w:p>
    <w:p w14:paraId="3DCCB45A">
      <w:pPr>
        <w:spacing w:line="460" w:lineRule="exact"/>
        <w:ind w:firstLine="420" w:firstLineChars="200"/>
        <w:rPr>
          <w:rFonts w:ascii="宋体" w:hAnsi="宋体" w:cs="宋体"/>
        </w:rPr>
      </w:pPr>
      <w:r>
        <w:rPr>
          <w:rFonts w:hint="eastAsia" w:ascii="宋体" w:hAnsi="宋体" w:cs="宋体"/>
        </w:rPr>
        <w:t>（二）</w:t>
      </w:r>
      <w:r>
        <w:rPr>
          <w:rFonts w:hint="eastAsia" w:ascii="宋体" w:hAnsi="宋体" w:cs="宋体"/>
          <w:szCs w:val="21"/>
        </w:rPr>
        <w:t>单位负责人为同一人或者存在直接控股、管理关系的不同供应商，不得参加同一合同项下</w:t>
      </w:r>
      <w:r>
        <w:rPr>
          <w:rFonts w:hint="eastAsia" w:ascii="宋体" w:hAnsi="宋体" w:cs="宋体"/>
        </w:rPr>
        <w:t>的政府采购活动；</w:t>
      </w:r>
    </w:p>
    <w:p w14:paraId="4C10F478">
      <w:pPr>
        <w:spacing w:line="460" w:lineRule="exact"/>
        <w:ind w:firstLine="420" w:firstLineChars="200"/>
        <w:rPr>
          <w:rFonts w:ascii="宋体" w:hAnsi="宋体" w:cs="宋体"/>
        </w:rPr>
      </w:pPr>
      <w:r>
        <w:rPr>
          <w:rFonts w:hint="eastAsia" w:ascii="宋体" w:hAnsi="宋体" w:cs="宋体"/>
        </w:rPr>
        <w:t>（三）具有营业执照副本；</w:t>
      </w:r>
    </w:p>
    <w:p w14:paraId="70DAEBCC">
      <w:pPr>
        <w:spacing w:line="460" w:lineRule="exact"/>
        <w:ind w:firstLine="420" w:firstLineChars="200"/>
        <w:rPr>
          <w:rFonts w:ascii="宋体" w:hAnsi="宋体" w:cs="宋体"/>
        </w:rPr>
      </w:pPr>
      <w:r>
        <w:rPr>
          <w:rFonts w:hint="eastAsia" w:ascii="宋体" w:hAnsi="宋体" w:cs="宋体"/>
        </w:rPr>
        <w:t>（四）未被“信用中国”网站（www.creditchina.gov.cn）、中国政府采购网 (www.ccgp.gov.cn)列入失信被执行人、</w:t>
      </w:r>
      <w:r>
        <w:rPr>
          <w:rFonts w:hint="eastAsia" w:ascii="宋体" w:hAnsi="宋体" w:cs="宋体"/>
          <w:lang w:eastAsia="zh-CN"/>
        </w:rPr>
        <w:t>重大税收违法失信主体名单</w:t>
      </w:r>
      <w:r>
        <w:rPr>
          <w:rFonts w:hint="eastAsia" w:ascii="宋体" w:hAnsi="宋体" w:cs="宋体"/>
        </w:rPr>
        <w:t>、政府采购严重失信行为记录名单。</w:t>
      </w:r>
    </w:p>
    <w:p w14:paraId="2A6FACF5">
      <w:pPr>
        <w:spacing w:line="460" w:lineRule="exact"/>
        <w:ind w:firstLine="420" w:firstLineChars="200"/>
        <w:jc w:val="left"/>
        <w:rPr>
          <w:rFonts w:ascii="宋体" w:hAnsi="宋体" w:cs="宋体"/>
          <w:szCs w:val="21"/>
        </w:rPr>
      </w:pPr>
      <w:r>
        <w:rPr>
          <w:rFonts w:hint="eastAsia" w:ascii="宋体" w:hAnsi="宋体" w:cs="宋体"/>
          <w:szCs w:val="21"/>
        </w:rPr>
        <w:t>三、获取询价文件的时间和办法</w:t>
      </w:r>
    </w:p>
    <w:p w14:paraId="79EBB92D">
      <w:pPr>
        <w:spacing w:line="440" w:lineRule="exact"/>
        <w:ind w:firstLine="420" w:firstLineChars="200"/>
        <w:rPr>
          <w:rFonts w:ascii="宋体" w:hAnsi="宋体" w:cs="宋体"/>
          <w:b/>
          <w:bCs/>
          <w:szCs w:val="21"/>
        </w:rPr>
      </w:pPr>
      <w:r>
        <w:rPr>
          <w:rFonts w:hint="eastAsia" w:ascii="宋体" w:hAnsi="宋体" w:cs="宋体"/>
        </w:rPr>
        <w:t>（一）</w:t>
      </w:r>
      <w:r>
        <w:rPr>
          <w:rFonts w:hint="eastAsia" w:ascii="宋体" w:hAnsi="宋体" w:cs="宋体"/>
          <w:szCs w:val="21"/>
        </w:rPr>
        <w:t>询价文件获取时间：</w:t>
      </w:r>
      <w:r>
        <w:rPr>
          <w:rFonts w:hint="eastAsia" w:ascii="宋体" w:hAnsi="宋体" w:cs="宋体"/>
          <w:b/>
          <w:bCs/>
          <w:szCs w:val="21"/>
        </w:rPr>
        <w:t>202</w:t>
      </w:r>
      <w:r>
        <w:rPr>
          <w:rFonts w:hint="eastAsia" w:ascii="宋体" w:hAnsi="宋体" w:cs="宋体"/>
          <w:b/>
          <w:bCs/>
          <w:szCs w:val="21"/>
          <w:lang w:val="en-US" w:eastAsia="zh-CN"/>
        </w:rPr>
        <w:t>6</w:t>
      </w:r>
      <w:r>
        <w:rPr>
          <w:rFonts w:hint="eastAsia" w:ascii="宋体" w:hAnsi="宋体" w:cs="宋体"/>
          <w:b/>
          <w:bCs/>
          <w:szCs w:val="21"/>
        </w:rPr>
        <w:t>年</w:t>
      </w:r>
      <w:r>
        <w:rPr>
          <w:rFonts w:hint="eastAsia" w:ascii="宋体" w:hAnsi="宋体" w:cs="宋体"/>
          <w:b/>
          <w:bCs/>
          <w:szCs w:val="21"/>
          <w:lang w:val="en-US" w:eastAsia="zh-CN"/>
        </w:rPr>
        <w:t>01</w:t>
      </w:r>
      <w:r>
        <w:rPr>
          <w:rFonts w:hint="eastAsia" w:ascii="宋体" w:hAnsi="宋体" w:cs="宋体"/>
          <w:b/>
          <w:bCs/>
          <w:szCs w:val="21"/>
        </w:rPr>
        <w:t>月</w:t>
      </w:r>
      <w:r>
        <w:rPr>
          <w:rFonts w:hint="eastAsia" w:ascii="宋体" w:hAnsi="宋体" w:cs="宋体"/>
          <w:b/>
          <w:bCs/>
          <w:szCs w:val="21"/>
          <w:lang w:val="en-US" w:eastAsia="zh-CN"/>
        </w:rPr>
        <w:t>14</w:t>
      </w:r>
      <w:r>
        <w:rPr>
          <w:rFonts w:hint="eastAsia" w:ascii="宋体" w:hAnsi="宋体" w:cs="宋体"/>
          <w:b/>
          <w:bCs/>
          <w:szCs w:val="21"/>
        </w:rPr>
        <w:t>日至202</w:t>
      </w:r>
      <w:r>
        <w:rPr>
          <w:rFonts w:hint="eastAsia" w:ascii="宋体" w:hAnsi="宋体" w:cs="宋体"/>
          <w:b/>
          <w:bCs/>
          <w:szCs w:val="21"/>
          <w:lang w:val="en-US" w:eastAsia="zh-CN"/>
        </w:rPr>
        <w:t>6</w:t>
      </w:r>
      <w:r>
        <w:rPr>
          <w:rFonts w:hint="eastAsia" w:ascii="宋体" w:hAnsi="宋体" w:cs="宋体"/>
          <w:b/>
          <w:bCs/>
          <w:szCs w:val="21"/>
        </w:rPr>
        <w:t>年</w:t>
      </w:r>
      <w:r>
        <w:rPr>
          <w:rFonts w:hint="eastAsia" w:ascii="宋体" w:hAnsi="宋体" w:cs="宋体"/>
          <w:b/>
          <w:bCs/>
          <w:szCs w:val="21"/>
          <w:lang w:val="en-US" w:eastAsia="zh-CN"/>
        </w:rPr>
        <w:t>01</w:t>
      </w:r>
      <w:r>
        <w:rPr>
          <w:rFonts w:hint="eastAsia" w:ascii="宋体" w:hAnsi="宋体" w:cs="宋体"/>
          <w:b/>
          <w:bCs/>
          <w:szCs w:val="21"/>
        </w:rPr>
        <w:t>月</w:t>
      </w:r>
      <w:r>
        <w:rPr>
          <w:rFonts w:hint="eastAsia" w:ascii="宋体" w:hAnsi="宋体" w:cs="宋体"/>
          <w:b/>
          <w:bCs/>
          <w:szCs w:val="21"/>
          <w:lang w:val="en-US" w:eastAsia="zh-CN"/>
        </w:rPr>
        <w:t>17</w:t>
      </w:r>
      <w:r>
        <w:rPr>
          <w:rFonts w:hint="eastAsia" w:ascii="宋体" w:hAnsi="宋体" w:cs="宋体"/>
          <w:b/>
          <w:bCs/>
          <w:szCs w:val="21"/>
        </w:rPr>
        <w:t>日，每天上午08：30至11：30，下午13：30至17：00（北京时间，法定节假日除外）</w:t>
      </w:r>
    </w:p>
    <w:p w14:paraId="62062F36">
      <w:pPr>
        <w:spacing w:line="440" w:lineRule="exact"/>
        <w:ind w:firstLine="420" w:firstLineChars="200"/>
        <w:jc w:val="left"/>
        <w:rPr>
          <w:rFonts w:ascii="宋体" w:hAnsi="宋体" w:cs="宋体"/>
          <w:b/>
          <w:bCs/>
          <w:szCs w:val="21"/>
        </w:rPr>
      </w:pPr>
      <w:r>
        <w:rPr>
          <w:rFonts w:hint="eastAsia" w:ascii="宋体" w:hAnsi="宋体" w:cs="宋体"/>
        </w:rPr>
        <w:t>（二）</w:t>
      </w:r>
      <w:r>
        <w:rPr>
          <w:rFonts w:hint="eastAsia" w:ascii="宋体" w:hAnsi="宋体" w:cs="宋体"/>
          <w:b/>
          <w:bCs/>
          <w:szCs w:val="21"/>
        </w:rPr>
        <w:t>询价文件售价：人民币壹佰圆整</w:t>
      </w:r>
    </w:p>
    <w:p w14:paraId="3123B4E5">
      <w:pPr>
        <w:spacing w:line="440" w:lineRule="exact"/>
        <w:ind w:firstLine="420" w:firstLineChars="200"/>
        <w:jc w:val="left"/>
        <w:rPr>
          <w:rFonts w:ascii="宋体" w:hAnsi="宋体" w:cs="宋体"/>
          <w:b/>
          <w:bCs/>
          <w:szCs w:val="21"/>
        </w:rPr>
      </w:pPr>
      <w:r>
        <w:rPr>
          <w:rFonts w:hint="eastAsia" w:ascii="宋体" w:hAnsi="宋体" w:cs="宋体"/>
        </w:rPr>
        <w:t>（三）</w:t>
      </w:r>
      <w:r>
        <w:rPr>
          <w:rFonts w:hint="eastAsia" w:ascii="宋体" w:hAnsi="宋体" w:cs="宋体"/>
          <w:szCs w:val="21"/>
        </w:rPr>
        <w:t>获取询价文件办法：</w:t>
      </w:r>
    </w:p>
    <w:p w14:paraId="1AFBACA6">
      <w:pPr>
        <w:pStyle w:val="21"/>
        <w:spacing w:before="0" w:beforeAutospacing="0" w:after="120" w:afterAutospacing="0" w:line="440" w:lineRule="exact"/>
        <w:ind w:firstLine="420" w:firstLineChars="200"/>
        <w:rPr>
          <w:sz w:val="21"/>
          <w:szCs w:val="21"/>
        </w:rPr>
      </w:pPr>
      <w:r>
        <w:rPr>
          <w:rFonts w:hint="eastAsia"/>
          <w:sz w:val="21"/>
          <w:szCs w:val="21"/>
        </w:rPr>
        <w:t>1.平台网址为：http://221.6.38.162:8081/portal。下载者首次登陆平台前，须前往平台免费注册，平台将对下载者注册信息与其提供扫描件信息进行一致性检查。注册为一次性工作，以后若有需要可变更及完善相关信息；注册成功后，可以及时参与平台上所有发布的采购项目并选择项目参加。</w:t>
      </w:r>
    </w:p>
    <w:p w14:paraId="1F6C0554">
      <w:pPr>
        <w:spacing w:line="440" w:lineRule="exact"/>
        <w:ind w:firstLine="422" w:firstLineChars="200"/>
        <w:jc w:val="left"/>
        <w:rPr>
          <w:rFonts w:ascii="宋体" w:hAnsi="宋体" w:cs="宋体"/>
          <w:b/>
          <w:bCs/>
          <w:szCs w:val="21"/>
        </w:rPr>
      </w:pPr>
      <w:r>
        <w:rPr>
          <w:rFonts w:hint="eastAsia" w:ascii="宋体" w:hAnsi="宋体" w:cs="宋体"/>
          <w:b/>
          <w:bCs/>
          <w:szCs w:val="21"/>
        </w:rPr>
        <w:t>2.现场报名或线上报名，报名时需提供以下报名资料：</w:t>
      </w:r>
    </w:p>
    <w:p w14:paraId="1A18D690">
      <w:pPr>
        <w:spacing w:line="440" w:lineRule="exact"/>
        <w:ind w:firstLine="420" w:firstLineChars="200"/>
        <w:jc w:val="left"/>
        <w:rPr>
          <w:rFonts w:ascii="宋体" w:hAnsi="宋体" w:cs="宋体"/>
          <w:szCs w:val="21"/>
        </w:rPr>
      </w:pPr>
      <w:r>
        <w:rPr>
          <w:rFonts w:hint="eastAsia" w:ascii="宋体" w:hAnsi="宋体" w:cs="宋体"/>
          <w:szCs w:val="21"/>
        </w:rPr>
        <w:t>（1）报名申请表（格式至“江苏恒卓工程管理咨询有限公司”官网办事指南自行下载）（原件）</w:t>
      </w:r>
    </w:p>
    <w:p w14:paraId="2BD73CD9">
      <w:pPr>
        <w:spacing w:line="440" w:lineRule="exact"/>
        <w:ind w:firstLine="422" w:firstLineChars="200"/>
        <w:jc w:val="left"/>
        <w:rPr>
          <w:rFonts w:ascii="宋体" w:hAnsi="宋体" w:cs="宋体"/>
          <w:b/>
          <w:bCs/>
          <w:szCs w:val="21"/>
        </w:rPr>
      </w:pPr>
      <w:r>
        <w:rPr>
          <w:rFonts w:hint="eastAsia" w:ascii="宋体" w:hAnsi="宋体" w:cs="宋体"/>
          <w:b/>
          <w:bCs/>
          <w:szCs w:val="21"/>
        </w:rPr>
        <w:t>线上领购供应商须将以上报名资料原件扫描件（PDF）发送至邮箱994093050@qq.com，代理机构审核后将以邮件形式告知供应商缴纳报名费，报名成功由代理机构发送询价文件。</w:t>
      </w:r>
    </w:p>
    <w:p w14:paraId="43CCD99F">
      <w:pPr>
        <w:spacing w:line="440" w:lineRule="exact"/>
        <w:ind w:firstLine="420" w:firstLineChars="200"/>
        <w:rPr>
          <w:rFonts w:ascii="宋体" w:hAnsi="宋体" w:cs="宋体"/>
          <w:szCs w:val="21"/>
        </w:rPr>
      </w:pPr>
      <w:r>
        <w:rPr>
          <w:rFonts w:hint="eastAsia" w:ascii="宋体" w:hAnsi="宋体" w:cs="宋体"/>
        </w:rPr>
        <w:t>（四）获取地点：江苏恒卓工程管理咨询有限公司综合办［常州市北塘河路8号恒生科技园44-2栋4F（一号大门往北一百米）］</w:t>
      </w:r>
    </w:p>
    <w:p w14:paraId="34D5E056">
      <w:pPr>
        <w:spacing w:line="460" w:lineRule="exact"/>
        <w:ind w:firstLine="420" w:firstLineChars="200"/>
        <w:rPr>
          <w:rFonts w:hint="eastAsia" w:ascii="宋体" w:hAnsi="宋体" w:eastAsia="宋体" w:cs="宋体"/>
          <w:szCs w:val="21"/>
          <w:lang w:val="en-US" w:eastAsia="zh-CN"/>
        </w:rPr>
      </w:pPr>
      <w:r>
        <w:rPr>
          <w:rFonts w:hint="eastAsia" w:ascii="宋体" w:hAnsi="宋体" w:cs="宋体"/>
          <w:szCs w:val="21"/>
          <w:lang w:val="en-US" w:eastAsia="zh-CN"/>
        </w:rPr>
        <w:t>四</w:t>
      </w:r>
      <w:r>
        <w:rPr>
          <w:rFonts w:hint="eastAsia" w:ascii="宋体" w:hAnsi="宋体" w:eastAsia="宋体" w:cs="宋体"/>
          <w:szCs w:val="21"/>
          <w:lang w:val="en-US" w:eastAsia="zh-CN"/>
        </w:rPr>
        <w:t>、其他补充事宜</w:t>
      </w:r>
    </w:p>
    <w:p w14:paraId="209C68C4">
      <w:pPr>
        <w:spacing w:line="460" w:lineRule="exact"/>
        <w:ind w:firstLine="422" w:firstLineChars="200"/>
        <w:rPr>
          <w:rFonts w:ascii="宋体" w:hAnsi="宋体" w:cs="宋体"/>
          <w:szCs w:val="21"/>
        </w:rPr>
      </w:pPr>
      <w:r>
        <w:rPr>
          <w:rFonts w:hint="eastAsia" w:ascii="宋体" w:hAnsi="宋体" w:eastAsia="宋体" w:cs="宋体"/>
          <w:b/>
          <w:bCs/>
          <w:szCs w:val="21"/>
          <w:lang w:val="en-US" w:eastAsia="zh-CN"/>
        </w:rPr>
        <w:t>（一）现场踏勘</w:t>
      </w:r>
      <w:r>
        <w:rPr>
          <w:rFonts w:hint="eastAsia" w:ascii="宋体" w:hAnsi="宋体" w:cs="宋体"/>
          <w:szCs w:val="21"/>
        </w:rPr>
        <w:t>：投标前供应商自行现场勘査，投标人应对现场进行认真踏勘，充分熟悉现场和周围环境，了解一切可能影响投标方案、报价及现场运输等的环境因素，并承担考察现场的责任和风险以及踏勘现场所发生的费用。投标人一旦中标，不得以不了解施工现场及周围环境不利于运输为由，提出额外款项增加、补偿或延长工期等要求。</w:t>
      </w:r>
    </w:p>
    <w:p w14:paraId="314BA199">
      <w:pPr>
        <w:spacing w:line="460" w:lineRule="exact"/>
        <w:ind w:firstLine="422" w:firstLineChars="200"/>
        <w:rPr>
          <w:rFonts w:hint="eastAsia" w:ascii="宋体" w:hAnsi="宋体" w:eastAsia="宋体" w:cs="宋体"/>
          <w:b/>
          <w:bCs/>
          <w:szCs w:val="21"/>
        </w:rPr>
      </w:pPr>
      <w:r>
        <w:rPr>
          <w:rFonts w:hint="eastAsia" w:ascii="宋体" w:hAnsi="宋体" w:eastAsia="宋体" w:cs="宋体"/>
          <w:b/>
          <w:bCs/>
          <w:szCs w:val="21"/>
          <w:lang w:val="en-US" w:eastAsia="zh-CN"/>
        </w:rPr>
        <w:t>（</w:t>
      </w:r>
      <w:r>
        <w:rPr>
          <w:rFonts w:hint="eastAsia" w:ascii="宋体" w:hAnsi="宋体" w:cs="宋体"/>
          <w:b/>
          <w:bCs/>
          <w:szCs w:val="21"/>
          <w:lang w:val="en-US" w:eastAsia="zh-CN"/>
        </w:rPr>
        <w:t>二</w:t>
      </w:r>
      <w:r>
        <w:rPr>
          <w:rFonts w:hint="eastAsia" w:ascii="宋体" w:hAnsi="宋体" w:eastAsia="宋体" w:cs="宋体"/>
          <w:b/>
          <w:bCs/>
          <w:szCs w:val="21"/>
          <w:lang w:val="en-US" w:eastAsia="zh-CN"/>
        </w:rPr>
        <w:t>）</w:t>
      </w:r>
      <w:r>
        <w:rPr>
          <w:rFonts w:hint="eastAsia" w:ascii="宋体" w:hAnsi="宋体" w:eastAsia="宋体" w:cs="宋体"/>
          <w:b/>
          <w:bCs/>
          <w:szCs w:val="21"/>
        </w:rPr>
        <w:t>投标保证金</w:t>
      </w:r>
    </w:p>
    <w:p w14:paraId="21725647">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投标保证金数额：</w:t>
      </w:r>
      <w:r>
        <w:rPr>
          <w:rFonts w:hint="eastAsia" w:ascii="宋体" w:hAnsi="宋体" w:eastAsia="宋体" w:cs="宋体"/>
          <w:b/>
          <w:bCs/>
          <w:szCs w:val="21"/>
        </w:rPr>
        <w:t>人民币</w:t>
      </w:r>
      <w:r>
        <w:rPr>
          <w:rFonts w:hint="eastAsia" w:ascii="宋体" w:hAnsi="宋体" w:cs="宋体"/>
          <w:b/>
          <w:bCs/>
          <w:szCs w:val="21"/>
          <w:lang w:val="en-US" w:eastAsia="zh-CN"/>
        </w:rPr>
        <w:t>伍仟</w:t>
      </w:r>
      <w:r>
        <w:rPr>
          <w:rFonts w:hint="eastAsia" w:ascii="宋体" w:hAnsi="宋体" w:eastAsia="宋体" w:cs="宋体"/>
          <w:b/>
          <w:bCs/>
          <w:szCs w:val="21"/>
        </w:rPr>
        <w:t>元整</w:t>
      </w:r>
    </w:p>
    <w:p w14:paraId="2B1AF75B">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收款单位：江苏恒卓工程管理咨询有限公司</w:t>
      </w:r>
    </w:p>
    <w:p w14:paraId="07D72050">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开户银行：江苏江南农村商业银行股份有限公司常州市青龙支行</w:t>
      </w:r>
    </w:p>
    <w:p w14:paraId="2C13C18B">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账号：89801116012010000004083</w:t>
      </w:r>
    </w:p>
    <w:p w14:paraId="513EE99F">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投标保证金到</w:t>
      </w:r>
      <w:r>
        <w:rPr>
          <w:rFonts w:hint="eastAsia" w:ascii="宋体" w:hAnsi="宋体" w:eastAsia="宋体" w:cs="宋体"/>
          <w:szCs w:val="21"/>
          <w:lang w:eastAsia="zh-CN"/>
        </w:rPr>
        <w:t>账</w:t>
      </w:r>
      <w:r>
        <w:rPr>
          <w:rFonts w:hint="eastAsia" w:ascii="宋体" w:hAnsi="宋体" w:eastAsia="宋体" w:cs="宋体"/>
          <w:szCs w:val="21"/>
        </w:rPr>
        <w:t>截止日期：</w:t>
      </w:r>
      <w:r>
        <w:rPr>
          <w:rFonts w:hint="eastAsia" w:ascii="宋体" w:hAnsi="宋体" w:eastAsia="宋体" w:cs="宋体"/>
          <w:b/>
          <w:bCs/>
          <w:szCs w:val="21"/>
        </w:rPr>
        <w:t>202</w:t>
      </w:r>
      <w:r>
        <w:rPr>
          <w:rFonts w:hint="eastAsia" w:ascii="宋体" w:hAnsi="宋体" w:cs="宋体"/>
          <w:b/>
          <w:bCs/>
          <w:szCs w:val="21"/>
          <w:lang w:val="en-US" w:eastAsia="zh-CN"/>
        </w:rPr>
        <w:t>6</w:t>
      </w:r>
      <w:r>
        <w:rPr>
          <w:rFonts w:hint="eastAsia" w:ascii="宋体" w:hAnsi="宋体" w:eastAsia="宋体" w:cs="宋体"/>
          <w:b/>
          <w:bCs/>
          <w:szCs w:val="21"/>
        </w:rPr>
        <w:t>年</w:t>
      </w:r>
      <w:r>
        <w:rPr>
          <w:rFonts w:hint="eastAsia" w:ascii="宋体" w:hAnsi="宋体" w:cs="宋体"/>
          <w:b/>
          <w:bCs/>
          <w:szCs w:val="21"/>
          <w:lang w:val="en-US" w:eastAsia="zh-CN"/>
        </w:rPr>
        <w:t>01</w:t>
      </w:r>
      <w:r>
        <w:rPr>
          <w:rFonts w:hint="eastAsia" w:ascii="宋体" w:hAnsi="宋体" w:eastAsia="宋体" w:cs="宋体"/>
          <w:b/>
          <w:bCs/>
          <w:szCs w:val="21"/>
        </w:rPr>
        <w:t>月</w:t>
      </w:r>
      <w:r>
        <w:rPr>
          <w:rFonts w:hint="eastAsia" w:ascii="宋体" w:hAnsi="宋体" w:cs="宋体"/>
          <w:b/>
          <w:bCs/>
          <w:szCs w:val="21"/>
          <w:lang w:val="en-US" w:eastAsia="zh-CN"/>
        </w:rPr>
        <w:t>18</w:t>
      </w:r>
      <w:r>
        <w:rPr>
          <w:rFonts w:hint="eastAsia" w:ascii="宋体" w:hAnsi="宋体" w:eastAsia="宋体" w:cs="宋体"/>
          <w:b/>
          <w:bCs/>
          <w:szCs w:val="21"/>
        </w:rPr>
        <w:t>日1</w:t>
      </w:r>
      <w:r>
        <w:rPr>
          <w:rFonts w:hint="eastAsia" w:ascii="宋体" w:hAnsi="宋体" w:cs="宋体"/>
          <w:b/>
          <w:bCs/>
          <w:szCs w:val="21"/>
          <w:lang w:val="en-US" w:eastAsia="zh-CN"/>
        </w:rPr>
        <w:t>7</w:t>
      </w:r>
      <w:r>
        <w:rPr>
          <w:rFonts w:hint="eastAsia" w:ascii="宋体" w:hAnsi="宋体" w:eastAsia="宋体" w:cs="宋体"/>
          <w:b/>
          <w:bCs/>
          <w:szCs w:val="21"/>
          <w:lang w:eastAsia="zh-CN"/>
        </w:rPr>
        <w:t>:</w:t>
      </w:r>
      <w:r>
        <w:rPr>
          <w:rFonts w:hint="eastAsia" w:ascii="宋体" w:hAnsi="宋体" w:eastAsia="宋体" w:cs="宋体"/>
          <w:b/>
          <w:bCs/>
          <w:szCs w:val="21"/>
        </w:rPr>
        <w:t>00（以代理机构网银到账时间为准）</w:t>
      </w:r>
    </w:p>
    <w:p w14:paraId="5DDD040F">
      <w:pPr>
        <w:spacing w:line="460" w:lineRule="exact"/>
        <w:ind w:firstLine="420" w:firstLineChars="200"/>
        <w:rPr>
          <w:rFonts w:hint="eastAsia" w:ascii="宋体" w:hAnsi="宋体" w:eastAsia="宋体" w:cs="宋体"/>
          <w:b/>
          <w:bCs/>
          <w:szCs w:val="21"/>
        </w:rPr>
      </w:pPr>
      <w:r>
        <w:rPr>
          <w:rFonts w:hint="eastAsia" w:ascii="宋体" w:hAnsi="宋体" w:eastAsia="宋体" w:cs="宋体"/>
          <w:szCs w:val="21"/>
        </w:rPr>
        <w:t>投标保证金交纳方式：</w:t>
      </w:r>
      <w:r>
        <w:rPr>
          <w:rFonts w:hint="eastAsia" w:ascii="宋体" w:hAnsi="宋体" w:eastAsia="宋体" w:cs="宋体"/>
          <w:b/>
          <w:bCs/>
          <w:szCs w:val="21"/>
        </w:rPr>
        <w:t>银行电汇或</w:t>
      </w:r>
      <w:r>
        <w:rPr>
          <w:rFonts w:hint="eastAsia" w:ascii="宋体" w:hAnsi="宋体" w:eastAsia="宋体" w:cs="宋体"/>
          <w:b/>
          <w:bCs/>
          <w:szCs w:val="21"/>
          <w:lang w:eastAsia="zh-CN"/>
        </w:rPr>
        <w:t>转账</w:t>
      </w:r>
      <w:r>
        <w:rPr>
          <w:rFonts w:hint="eastAsia" w:ascii="宋体" w:hAnsi="宋体" w:eastAsia="宋体" w:cs="宋体"/>
          <w:b/>
          <w:bCs/>
          <w:szCs w:val="21"/>
        </w:rPr>
        <w:t>（备注项目编号）</w:t>
      </w:r>
    </w:p>
    <w:p w14:paraId="639B9B68">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*投标单位必须自行将投标保证金从公司账户按规定方式和时间缴至上述</w:t>
      </w:r>
      <w:r>
        <w:rPr>
          <w:rFonts w:hint="eastAsia" w:ascii="宋体" w:hAnsi="宋体" w:eastAsia="宋体" w:cs="宋体"/>
          <w:szCs w:val="21"/>
          <w:lang w:eastAsia="zh-CN"/>
        </w:rPr>
        <w:t>指定账户</w:t>
      </w:r>
      <w:r>
        <w:rPr>
          <w:rFonts w:hint="eastAsia" w:ascii="宋体" w:hAnsi="宋体" w:eastAsia="宋体" w:cs="宋体"/>
          <w:szCs w:val="21"/>
        </w:rPr>
        <w:t>并到</w:t>
      </w:r>
      <w:r>
        <w:rPr>
          <w:rFonts w:hint="eastAsia" w:ascii="宋体" w:hAnsi="宋体" w:eastAsia="宋体" w:cs="宋体"/>
          <w:szCs w:val="21"/>
          <w:lang w:eastAsia="zh-CN"/>
        </w:rPr>
        <w:t>账</w:t>
      </w:r>
      <w:r>
        <w:rPr>
          <w:rFonts w:hint="eastAsia" w:ascii="宋体" w:hAnsi="宋体" w:eastAsia="宋体" w:cs="宋体"/>
          <w:szCs w:val="21"/>
        </w:rPr>
        <w:t>，拒绝</w:t>
      </w:r>
      <w:r>
        <w:rPr>
          <w:rFonts w:hint="eastAsia" w:ascii="宋体" w:hAnsi="宋体" w:eastAsia="宋体" w:cs="宋体"/>
          <w:szCs w:val="21"/>
          <w:lang w:eastAsia="zh-CN"/>
        </w:rPr>
        <w:t>以其他方式</w:t>
      </w:r>
      <w:r>
        <w:rPr>
          <w:rFonts w:hint="eastAsia" w:ascii="宋体" w:hAnsi="宋体" w:eastAsia="宋体" w:cs="宋体"/>
          <w:szCs w:val="21"/>
        </w:rPr>
        <w:t>缴纳，禁止第三方代缴保证金，否则将被视为无效响应，其投标文件将被拒绝。</w:t>
      </w:r>
    </w:p>
    <w:p w14:paraId="28ACC181">
      <w:pPr>
        <w:spacing w:line="460" w:lineRule="exact"/>
        <w:ind w:firstLine="422" w:firstLineChars="200"/>
        <w:rPr>
          <w:rFonts w:hint="eastAsia" w:ascii="宋体" w:hAnsi="宋体" w:eastAsia="宋体" w:cs="宋体"/>
          <w:b/>
          <w:bCs/>
          <w:szCs w:val="21"/>
          <w:lang w:val="en-US" w:eastAsia="zh-CN"/>
        </w:rPr>
      </w:pPr>
      <w:r>
        <w:rPr>
          <w:rFonts w:hint="eastAsia" w:ascii="宋体" w:hAnsi="宋体" w:eastAsia="宋体" w:cs="宋体"/>
          <w:b/>
          <w:bCs/>
          <w:szCs w:val="21"/>
          <w:lang w:val="en-US" w:eastAsia="zh-CN"/>
        </w:rPr>
        <w:t>（三）答疑</w:t>
      </w:r>
    </w:p>
    <w:p w14:paraId="7BA16471">
      <w:pPr>
        <w:numPr>
          <w:ilvl w:val="0"/>
          <w:numId w:val="0"/>
        </w:numPr>
        <w:spacing w:line="460" w:lineRule="exact"/>
        <w:ind w:firstLine="420" w:firstLineChars="200"/>
        <w:rPr>
          <w:rFonts w:ascii="宋体" w:hAnsi="宋体" w:cs="宋体"/>
        </w:rPr>
      </w:pPr>
      <w:r>
        <w:rPr>
          <w:rFonts w:hint="eastAsia" w:ascii="宋体" w:hAnsi="宋体" w:cs="宋体"/>
          <w:szCs w:val="21"/>
        </w:rPr>
        <w:t xml:space="preserve">参加询价的供应商若认为询价函的资格要求和技术要求有倾向性或不公正性，可在 </w:t>
      </w:r>
      <w:r>
        <w:rPr>
          <w:rFonts w:hint="eastAsia" w:ascii="宋体" w:hAnsi="宋体" w:cs="宋体"/>
          <w:b/>
          <w:szCs w:val="21"/>
        </w:rPr>
        <w:t>202</w:t>
      </w:r>
      <w:r>
        <w:rPr>
          <w:rFonts w:hint="eastAsia" w:ascii="宋体" w:hAnsi="宋体" w:cs="宋体"/>
          <w:b/>
          <w:szCs w:val="21"/>
          <w:lang w:val="en-US" w:eastAsia="zh-CN"/>
        </w:rPr>
        <w:t>6</w:t>
      </w:r>
      <w:r>
        <w:rPr>
          <w:rFonts w:hint="eastAsia" w:ascii="宋体" w:hAnsi="宋体" w:cs="宋体"/>
          <w:b/>
          <w:szCs w:val="21"/>
        </w:rPr>
        <w:t>年</w:t>
      </w:r>
      <w:r>
        <w:rPr>
          <w:rFonts w:hint="eastAsia" w:ascii="宋体" w:hAnsi="宋体" w:cs="宋体"/>
          <w:b/>
          <w:szCs w:val="21"/>
          <w:lang w:val="en-US" w:eastAsia="zh-CN"/>
        </w:rPr>
        <w:t>01</w:t>
      </w:r>
      <w:r>
        <w:rPr>
          <w:rFonts w:hint="eastAsia" w:ascii="宋体" w:hAnsi="宋体" w:cs="宋体"/>
          <w:b/>
          <w:szCs w:val="21"/>
        </w:rPr>
        <w:t>月</w:t>
      </w:r>
      <w:r>
        <w:rPr>
          <w:rFonts w:hint="eastAsia" w:ascii="宋体" w:hAnsi="宋体" w:cs="宋体"/>
          <w:b/>
          <w:szCs w:val="21"/>
          <w:lang w:val="en-US" w:eastAsia="zh-CN"/>
        </w:rPr>
        <w:t>17</w:t>
      </w:r>
      <w:r>
        <w:rPr>
          <w:rFonts w:hint="eastAsia" w:ascii="宋体" w:hAnsi="宋体" w:cs="宋体"/>
          <w:b/>
          <w:szCs w:val="21"/>
        </w:rPr>
        <w:t>日20：30</w:t>
      </w:r>
      <w:r>
        <w:rPr>
          <w:rFonts w:hint="eastAsia" w:ascii="宋体" w:hAnsi="宋体" w:cs="宋体"/>
          <w:szCs w:val="21"/>
        </w:rPr>
        <w:t>之前以书面形式或邮件形式</w:t>
      </w:r>
      <w:r>
        <w:rPr>
          <w:rFonts w:hint="eastAsia" w:ascii="宋体" w:hAnsi="宋体" w:cs="宋体"/>
          <w:b/>
          <w:bCs/>
          <w:szCs w:val="21"/>
        </w:rPr>
        <w:t>（994093050@qq.com）</w:t>
      </w:r>
      <w:r>
        <w:rPr>
          <w:rFonts w:hint="eastAsia" w:ascii="宋体" w:hAnsi="宋体" w:cs="宋体"/>
          <w:szCs w:val="21"/>
        </w:rPr>
        <w:t>向我公司提出。对于没有提出澄清要求又参与了该项目的供应商将被视为完全认同该询价函，询价响应文件递交截止期后不再受理针对询价函的相关质疑和投诉。</w:t>
      </w:r>
    </w:p>
    <w:p w14:paraId="03CD35F1">
      <w:pPr>
        <w:spacing w:line="460" w:lineRule="exact"/>
        <w:ind w:left="420" w:leftChars="200"/>
        <w:rPr>
          <w:rFonts w:ascii="宋体" w:hAnsi="宋体" w:cs="宋体"/>
          <w:b/>
          <w:bCs/>
        </w:rPr>
      </w:pPr>
      <w:r>
        <w:rPr>
          <w:rFonts w:hint="eastAsia" w:ascii="宋体" w:hAnsi="宋体" w:cs="宋体"/>
          <w:szCs w:val="21"/>
          <w:lang w:val="en-US" w:eastAsia="zh-CN"/>
        </w:rPr>
        <w:t>五</w:t>
      </w:r>
      <w:r>
        <w:rPr>
          <w:rFonts w:hint="eastAsia" w:ascii="宋体" w:hAnsi="宋体" w:cs="宋体"/>
          <w:szCs w:val="21"/>
        </w:rPr>
        <w:t>、开标时间：</w:t>
      </w:r>
      <w:r>
        <w:rPr>
          <w:rFonts w:hint="eastAsia" w:ascii="宋体" w:hAnsi="宋体" w:cs="宋体"/>
          <w:b/>
          <w:bCs/>
        </w:rPr>
        <w:t>202</w:t>
      </w:r>
      <w:r>
        <w:rPr>
          <w:rFonts w:hint="eastAsia" w:ascii="宋体" w:hAnsi="宋体" w:cs="宋体"/>
          <w:b/>
          <w:bCs/>
          <w:lang w:val="en-US" w:eastAsia="zh-CN"/>
        </w:rPr>
        <w:t>6</w:t>
      </w:r>
      <w:r>
        <w:rPr>
          <w:rFonts w:hint="eastAsia" w:ascii="宋体" w:hAnsi="宋体" w:cs="宋体"/>
          <w:b/>
          <w:bCs/>
        </w:rPr>
        <w:t>年</w:t>
      </w:r>
      <w:r>
        <w:rPr>
          <w:rFonts w:hint="eastAsia" w:ascii="宋体" w:hAnsi="宋体" w:cs="宋体"/>
          <w:b/>
          <w:bCs/>
          <w:lang w:val="en-US" w:eastAsia="zh-CN"/>
        </w:rPr>
        <w:t>01</w:t>
      </w:r>
      <w:r>
        <w:rPr>
          <w:rFonts w:hint="eastAsia" w:ascii="宋体" w:hAnsi="宋体" w:cs="宋体"/>
          <w:b/>
          <w:bCs/>
        </w:rPr>
        <w:t>月</w:t>
      </w:r>
      <w:r>
        <w:rPr>
          <w:rFonts w:hint="eastAsia" w:ascii="宋体" w:hAnsi="宋体" w:cs="宋体"/>
          <w:b/>
          <w:bCs/>
          <w:lang w:val="en-US" w:eastAsia="zh-CN"/>
        </w:rPr>
        <w:t>19</w:t>
      </w:r>
      <w:r>
        <w:rPr>
          <w:rFonts w:hint="eastAsia" w:ascii="宋体" w:hAnsi="宋体" w:cs="宋体"/>
          <w:b/>
          <w:bCs/>
        </w:rPr>
        <w:t>日1</w:t>
      </w:r>
      <w:r>
        <w:rPr>
          <w:rFonts w:hint="eastAsia" w:ascii="宋体" w:hAnsi="宋体" w:cs="宋体"/>
          <w:b/>
          <w:bCs/>
          <w:lang w:val="en-US" w:eastAsia="zh-CN"/>
        </w:rPr>
        <w:t>4</w:t>
      </w:r>
      <w:r>
        <w:rPr>
          <w:rFonts w:hint="eastAsia" w:ascii="宋体" w:hAnsi="宋体" w:cs="宋体"/>
          <w:b/>
          <w:bCs/>
        </w:rPr>
        <w:t>：</w:t>
      </w:r>
      <w:r>
        <w:rPr>
          <w:rFonts w:hint="eastAsia" w:ascii="宋体" w:hAnsi="宋体" w:cs="宋体"/>
          <w:b/>
          <w:bCs/>
          <w:lang w:val="en-US" w:eastAsia="zh-CN"/>
        </w:rPr>
        <w:t>3</w:t>
      </w:r>
      <w:r>
        <w:rPr>
          <w:rFonts w:hint="eastAsia" w:ascii="宋体" w:hAnsi="宋体" w:cs="宋体"/>
          <w:b/>
          <w:bCs/>
        </w:rPr>
        <w:t>0</w:t>
      </w:r>
    </w:p>
    <w:p w14:paraId="0C739F03">
      <w:pPr>
        <w:spacing w:line="460" w:lineRule="exact"/>
        <w:ind w:left="420" w:leftChars="200"/>
        <w:rPr>
          <w:rFonts w:ascii="宋体" w:hAnsi="宋体" w:cs="宋体"/>
          <w:szCs w:val="21"/>
        </w:rPr>
      </w:pPr>
      <w:r>
        <w:rPr>
          <w:rFonts w:hint="eastAsia" w:ascii="宋体" w:hAnsi="宋体" w:cs="宋体"/>
          <w:szCs w:val="21"/>
          <w:lang w:val="en-US" w:eastAsia="zh-CN"/>
        </w:rPr>
        <w:t>六</w:t>
      </w:r>
      <w:r>
        <w:rPr>
          <w:rFonts w:hint="eastAsia" w:ascii="宋体" w:hAnsi="宋体" w:cs="宋体"/>
          <w:szCs w:val="21"/>
        </w:rPr>
        <w:t>、询价地点：常州市北塘河路8号恒生科技园44-2栋3楼（一号大门往北一百米）　</w:t>
      </w:r>
    </w:p>
    <w:p w14:paraId="58C575EF">
      <w:pPr>
        <w:spacing w:line="460" w:lineRule="exact"/>
        <w:ind w:firstLine="420" w:firstLineChars="200"/>
        <w:rPr>
          <w:rFonts w:ascii="宋体" w:hAnsi="宋体" w:cs="宋体"/>
          <w:szCs w:val="21"/>
        </w:rPr>
      </w:pPr>
      <w:r>
        <w:rPr>
          <w:rFonts w:hint="eastAsia" w:ascii="宋体" w:hAnsi="宋体" w:cs="宋体"/>
          <w:szCs w:val="21"/>
          <w:lang w:val="en-US" w:eastAsia="zh-CN"/>
        </w:rPr>
        <w:t>七</w:t>
      </w:r>
      <w:r>
        <w:rPr>
          <w:rFonts w:hint="eastAsia" w:ascii="宋体" w:hAnsi="宋体" w:cs="宋体"/>
          <w:szCs w:val="21"/>
        </w:rPr>
        <w:t>、询价文件售后一概不退。供应商递交的询价文件概不退还。</w:t>
      </w:r>
    </w:p>
    <w:p w14:paraId="14EA7C5F">
      <w:pPr>
        <w:spacing w:line="460" w:lineRule="exact"/>
        <w:ind w:firstLine="420" w:firstLineChars="200"/>
        <w:rPr>
          <w:rFonts w:ascii="宋体" w:hAnsi="宋体" w:cs="宋体"/>
          <w:szCs w:val="21"/>
        </w:rPr>
      </w:pPr>
      <w:r>
        <w:rPr>
          <w:rFonts w:hint="eastAsia" w:ascii="宋体" w:hAnsi="宋体" w:cs="宋体"/>
          <w:szCs w:val="21"/>
          <w:lang w:val="en-US" w:eastAsia="zh-CN"/>
        </w:rPr>
        <w:t>八</w:t>
      </w:r>
      <w:r>
        <w:rPr>
          <w:rFonts w:hint="eastAsia" w:ascii="宋体" w:hAnsi="宋体" w:cs="宋体"/>
          <w:szCs w:val="21"/>
        </w:rPr>
        <w:t>、联系方式</w:t>
      </w:r>
    </w:p>
    <w:p w14:paraId="12EE7E08">
      <w:pPr>
        <w:spacing w:line="460" w:lineRule="exact"/>
        <w:ind w:firstLine="420" w:firstLineChars="200"/>
        <w:rPr>
          <w:rFonts w:ascii="宋体" w:hAnsi="宋体" w:cs="宋体"/>
          <w:szCs w:val="21"/>
        </w:rPr>
      </w:pPr>
      <w:r>
        <w:rPr>
          <w:rFonts w:hint="eastAsia" w:ascii="宋体" w:hAnsi="宋体" w:cs="宋体"/>
          <w:szCs w:val="21"/>
        </w:rPr>
        <w:t>联系人：曹工                            联系电话：</w:t>
      </w:r>
      <w:r>
        <w:rPr>
          <w:rFonts w:hint="eastAsia" w:ascii="宋体" w:hAnsi="宋体" w:cs="宋体"/>
          <w:kern w:val="0"/>
          <w:szCs w:val="21"/>
          <w:shd w:val="clear" w:color="auto" w:fill="FFFFFF"/>
          <w:lang w:bidi="ar"/>
        </w:rPr>
        <w:t>0519-83999268</w:t>
      </w:r>
    </w:p>
    <w:p w14:paraId="0326D671">
      <w:pPr>
        <w:spacing w:line="460" w:lineRule="exact"/>
        <w:ind w:firstLine="420" w:firstLineChars="200"/>
        <w:rPr>
          <w:rFonts w:ascii="宋体" w:hAnsi="宋体" w:cs="宋体"/>
          <w:szCs w:val="21"/>
        </w:rPr>
      </w:pPr>
      <w:r>
        <w:rPr>
          <w:rFonts w:hint="eastAsia" w:ascii="宋体" w:hAnsi="宋体" w:cs="宋体"/>
          <w:szCs w:val="21"/>
        </w:rPr>
        <w:t>联系地址：江苏恒卓工程管理咨询有限公司综合办</w:t>
      </w:r>
    </w:p>
    <w:p w14:paraId="7805DF75">
      <w:pPr>
        <w:spacing w:line="460" w:lineRule="exact"/>
        <w:ind w:firstLine="420" w:firstLineChars="200"/>
        <w:rPr>
          <w:rFonts w:ascii="宋体" w:hAnsi="宋体" w:cs="宋体"/>
          <w:szCs w:val="21"/>
        </w:rPr>
      </w:pPr>
      <w:r>
        <w:rPr>
          <w:rFonts w:hint="eastAsia" w:ascii="宋体" w:hAnsi="宋体" w:cs="宋体"/>
          <w:szCs w:val="21"/>
        </w:rPr>
        <w:t xml:space="preserve">网    址：http://www.czhzzb.cn/index.php     </w:t>
      </w:r>
    </w:p>
    <w:p w14:paraId="525843AF">
      <w:pPr>
        <w:spacing w:line="460" w:lineRule="exact"/>
        <w:ind w:right="360" w:firstLine="420" w:firstLineChars="200"/>
        <w:jc w:val="left"/>
        <w:rPr>
          <w:rFonts w:ascii="宋体" w:hAnsi="宋体" w:cs="宋体"/>
          <w:szCs w:val="21"/>
        </w:rPr>
      </w:pPr>
    </w:p>
    <w:p w14:paraId="0D2FBEE9">
      <w:pPr>
        <w:spacing w:line="460" w:lineRule="exact"/>
        <w:ind w:right="360"/>
        <w:jc w:val="right"/>
        <w:rPr>
          <w:rFonts w:ascii="宋体" w:hAnsi="宋体" w:cs="宋体"/>
          <w:szCs w:val="21"/>
        </w:rPr>
      </w:pPr>
      <w:r>
        <w:rPr>
          <w:rFonts w:hint="eastAsia" w:ascii="宋体" w:hAnsi="宋体" w:cs="宋体"/>
          <w:szCs w:val="21"/>
        </w:rPr>
        <w:t>江苏恒卓工程管理咨询有限公司</w:t>
      </w:r>
    </w:p>
    <w:p w14:paraId="4D951F27">
      <w:pPr>
        <w:spacing w:line="460" w:lineRule="exact"/>
        <w:ind w:right="360"/>
        <w:jc w:val="right"/>
        <w:rPr>
          <w:rFonts w:ascii="宋体" w:hAnsi="宋体" w:cs="宋体"/>
          <w:szCs w:val="21"/>
        </w:rPr>
      </w:pPr>
      <w:r>
        <w:rPr>
          <w:rFonts w:hint="eastAsia" w:ascii="宋体" w:hAnsi="宋体" w:cs="宋体"/>
          <w:szCs w:val="21"/>
        </w:rPr>
        <w:t>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01</w:t>
      </w:r>
      <w:r>
        <w:rPr>
          <w:rFonts w:hint="eastAsia" w:ascii="宋体" w:hAnsi="宋体" w:cs="宋体"/>
          <w:szCs w:val="21"/>
        </w:rPr>
        <w:t>月</w:t>
      </w:r>
      <w:r>
        <w:rPr>
          <w:rFonts w:hint="eastAsia" w:ascii="宋体" w:hAnsi="宋体" w:cs="宋体"/>
          <w:szCs w:val="21"/>
          <w:lang w:val="en-US" w:eastAsia="zh-CN"/>
        </w:rPr>
        <w:t>14</w:t>
      </w:r>
      <w:r>
        <w:rPr>
          <w:rFonts w:hint="eastAsia" w:ascii="宋体" w:hAnsi="宋体" w:cs="宋体"/>
          <w:szCs w:val="21"/>
        </w:rPr>
        <w:t>日</w:t>
      </w:r>
    </w:p>
    <w:p w14:paraId="0EA4F866">
      <w:pPr>
        <w:pStyle w:val="11"/>
        <w:spacing w:line="380" w:lineRule="exact"/>
        <w:jc w:val="center"/>
        <w:rPr>
          <w:rFonts w:hint="eastAsia" w:hAnsi="宋体" w:cs="宋体"/>
          <w:b/>
          <w:bCs/>
          <w:sz w:val="32"/>
          <w:szCs w:val="32"/>
        </w:rPr>
      </w:pPr>
    </w:p>
    <w:p w14:paraId="5A3B9A99">
      <w:pPr>
        <w:pStyle w:val="11"/>
        <w:spacing w:line="380" w:lineRule="exact"/>
        <w:jc w:val="center"/>
        <w:rPr>
          <w:rFonts w:hint="eastAsia" w:hAnsi="宋体" w:cs="宋体"/>
          <w:b/>
          <w:bCs/>
          <w:sz w:val="32"/>
          <w:szCs w:val="32"/>
        </w:rPr>
      </w:pPr>
    </w:p>
    <w:p w14:paraId="77889B00">
      <w:pPr>
        <w:pStyle w:val="11"/>
        <w:spacing w:line="380" w:lineRule="exact"/>
        <w:jc w:val="center"/>
        <w:rPr>
          <w:rFonts w:hint="eastAsia" w:hAnsi="宋体" w:cs="宋体"/>
          <w:b/>
          <w:bCs/>
          <w:sz w:val="32"/>
          <w:szCs w:val="32"/>
        </w:rPr>
      </w:pPr>
    </w:p>
    <w:p w14:paraId="6DF646AD">
      <w:pPr>
        <w:pStyle w:val="11"/>
        <w:spacing w:line="380" w:lineRule="exact"/>
        <w:jc w:val="center"/>
        <w:rPr>
          <w:rFonts w:hint="eastAsia" w:hAnsi="宋体" w:cs="宋体"/>
          <w:b/>
          <w:bCs/>
          <w:sz w:val="32"/>
          <w:szCs w:val="32"/>
        </w:rPr>
      </w:pPr>
    </w:p>
    <w:p w14:paraId="59CEF496">
      <w:pPr>
        <w:pStyle w:val="11"/>
        <w:spacing w:line="380" w:lineRule="exact"/>
        <w:jc w:val="center"/>
        <w:rPr>
          <w:rFonts w:hint="eastAsia" w:hAnsi="宋体" w:cs="宋体"/>
          <w:b/>
          <w:bCs/>
          <w:sz w:val="32"/>
          <w:szCs w:val="32"/>
        </w:rPr>
      </w:pPr>
    </w:p>
    <w:p w14:paraId="0AB257E1">
      <w:pPr>
        <w:pStyle w:val="11"/>
        <w:spacing w:line="380" w:lineRule="exact"/>
        <w:jc w:val="center"/>
        <w:rPr>
          <w:rFonts w:hint="eastAsia" w:hAnsi="宋体" w:cs="宋体"/>
          <w:b/>
          <w:bCs/>
          <w:sz w:val="32"/>
          <w:szCs w:val="32"/>
        </w:rPr>
      </w:pPr>
    </w:p>
    <w:p w14:paraId="5B765F6C">
      <w:pPr>
        <w:pStyle w:val="11"/>
        <w:spacing w:line="380" w:lineRule="exact"/>
        <w:jc w:val="center"/>
        <w:rPr>
          <w:rFonts w:hint="eastAsia" w:hAnsi="宋体" w:cs="宋体"/>
          <w:b/>
          <w:bCs/>
          <w:sz w:val="32"/>
          <w:szCs w:val="32"/>
        </w:rPr>
      </w:pPr>
    </w:p>
    <w:p w14:paraId="04E4E352">
      <w:pPr>
        <w:pStyle w:val="11"/>
        <w:spacing w:line="380" w:lineRule="exact"/>
        <w:jc w:val="center"/>
        <w:rPr>
          <w:rFonts w:hint="eastAsia" w:hAnsi="宋体" w:cs="宋体"/>
          <w:b/>
          <w:bCs/>
          <w:sz w:val="32"/>
          <w:szCs w:val="32"/>
        </w:rPr>
      </w:pPr>
    </w:p>
    <w:p w14:paraId="1AC82DA6">
      <w:pPr>
        <w:pStyle w:val="11"/>
        <w:spacing w:line="380" w:lineRule="exact"/>
        <w:jc w:val="center"/>
        <w:rPr>
          <w:rFonts w:hint="eastAsia" w:hAnsi="宋体" w:cs="宋体"/>
          <w:b/>
          <w:bCs/>
          <w:sz w:val="32"/>
          <w:szCs w:val="32"/>
        </w:rPr>
      </w:pPr>
    </w:p>
    <w:p w14:paraId="450108C3">
      <w:pPr>
        <w:pStyle w:val="11"/>
        <w:spacing w:line="380" w:lineRule="exact"/>
        <w:jc w:val="center"/>
        <w:rPr>
          <w:rFonts w:hint="eastAsia" w:hAnsi="宋体" w:cs="宋体"/>
          <w:b/>
          <w:bCs/>
          <w:sz w:val="32"/>
          <w:szCs w:val="32"/>
        </w:rPr>
      </w:pPr>
    </w:p>
    <w:p w14:paraId="5F76EF19">
      <w:pPr>
        <w:pStyle w:val="11"/>
        <w:spacing w:line="380" w:lineRule="exact"/>
        <w:jc w:val="center"/>
        <w:rPr>
          <w:rFonts w:hint="eastAsia" w:hAnsi="宋体" w:cs="宋体"/>
          <w:b/>
          <w:bCs/>
          <w:sz w:val="32"/>
          <w:szCs w:val="32"/>
        </w:rPr>
      </w:pPr>
    </w:p>
    <w:p w14:paraId="6DC7356D">
      <w:pPr>
        <w:pStyle w:val="11"/>
        <w:spacing w:line="380" w:lineRule="exact"/>
        <w:jc w:val="center"/>
        <w:rPr>
          <w:rFonts w:hint="eastAsia" w:hAnsi="宋体" w:cs="宋体"/>
          <w:b/>
          <w:bCs/>
          <w:sz w:val="32"/>
          <w:szCs w:val="32"/>
        </w:rPr>
      </w:pPr>
    </w:p>
    <w:p w14:paraId="127D2F3D">
      <w:pPr>
        <w:pStyle w:val="11"/>
        <w:spacing w:line="380" w:lineRule="exact"/>
        <w:jc w:val="center"/>
        <w:rPr>
          <w:rFonts w:hint="eastAsia" w:hAnsi="宋体" w:cs="宋体"/>
          <w:b/>
          <w:bCs/>
          <w:sz w:val="32"/>
          <w:szCs w:val="32"/>
        </w:rPr>
      </w:pPr>
    </w:p>
    <w:p w14:paraId="64DF8765">
      <w:pPr>
        <w:pStyle w:val="11"/>
        <w:spacing w:line="380" w:lineRule="exact"/>
        <w:jc w:val="center"/>
        <w:rPr>
          <w:rFonts w:hint="eastAsia" w:hAnsi="宋体" w:cs="宋体"/>
          <w:b/>
          <w:bCs/>
          <w:sz w:val="32"/>
          <w:szCs w:val="32"/>
        </w:rPr>
      </w:pPr>
    </w:p>
    <w:p w14:paraId="49A259CF">
      <w:pPr>
        <w:pStyle w:val="11"/>
        <w:spacing w:line="380" w:lineRule="exact"/>
        <w:jc w:val="center"/>
        <w:rPr>
          <w:rFonts w:hint="eastAsia" w:hAnsi="宋体" w:cs="宋体"/>
          <w:b/>
          <w:bCs/>
          <w:sz w:val="32"/>
          <w:szCs w:val="32"/>
        </w:rPr>
      </w:pPr>
    </w:p>
    <w:p w14:paraId="4D685A06">
      <w:pPr>
        <w:pStyle w:val="11"/>
        <w:spacing w:line="380" w:lineRule="exact"/>
        <w:jc w:val="center"/>
        <w:rPr>
          <w:rFonts w:hint="eastAsia" w:hAnsi="宋体" w:cs="宋体"/>
          <w:b/>
          <w:bCs/>
          <w:sz w:val="32"/>
          <w:szCs w:val="32"/>
        </w:rPr>
      </w:pPr>
    </w:p>
    <w:p w14:paraId="43275FC8">
      <w:pPr>
        <w:pStyle w:val="11"/>
        <w:spacing w:line="380" w:lineRule="exact"/>
        <w:jc w:val="center"/>
        <w:rPr>
          <w:rFonts w:hint="eastAsia" w:hAnsi="宋体" w:cs="宋体"/>
          <w:b/>
          <w:bCs/>
          <w:sz w:val="32"/>
          <w:szCs w:val="32"/>
        </w:rPr>
      </w:pPr>
    </w:p>
    <w:p w14:paraId="09242DBB">
      <w:pPr>
        <w:pStyle w:val="11"/>
        <w:spacing w:line="380" w:lineRule="exact"/>
        <w:jc w:val="center"/>
        <w:rPr>
          <w:rFonts w:hint="eastAsia" w:hAnsi="宋体" w:cs="宋体"/>
          <w:b/>
          <w:bCs/>
          <w:sz w:val="32"/>
          <w:szCs w:val="32"/>
        </w:rPr>
      </w:pPr>
    </w:p>
    <w:p w14:paraId="4B57E9D1">
      <w:pPr>
        <w:pStyle w:val="11"/>
        <w:spacing w:line="380" w:lineRule="exact"/>
        <w:jc w:val="center"/>
        <w:rPr>
          <w:rFonts w:hint="eastAsia" w:hAnsi="宋体" w:cs="宋体"/>
          <w:b/>
          <w:bCs/>
          <w:sz w:val="32"/>
          <w:szCs w:val="32"/>
        </w:rPr>
      </w:pPr>
    </w:p>
    <w:p w14:paraId="6F219F29">
      <w:pPr>
        <w:pStyle w:val="11"/>
        <w:spacing w:line="380" w:lineRule="exact"/>
        <w:jc w:val="center"/>
        <w:rPr>
          <w:rFonts w:hint="eastAsia" w:hAnsi="宋体" w:cs="宋体"/>
          <w:b/>
          <w:bCs/>
          <w:sz w:val="32"/>
          <w:szCs w:val="32"/>
        </w:rPr>
      </w:pPr>
    </w:p>
    <w:p w14:paraId="5E171178">
      <w:pPr>
        <w:pStyle w:val="11"/>
        <w:spacing w:line="380" w:lineRule="exact"/>
        <w:jc w:val="center"/>
        <w:rPr>
          <w:rFonts w:hint="eastAsia" w:hAnsi="宋体" w:cs="宋体"/>
          <w:b/>
          <w:bCs/>
          <w:sz w:val="32"/>
          <w:szCs w:val="32"/>
        </w:rPr>
      </w:pPr>
    </w:p>
    <w:p w14:paraId="05CC36B2">
      <w:pPr>
        <w:pStyle w:val="11"/>
        <w:spacing w:line="380" w:lineRule="exact"/>
        <w:jc w:val="center"/>
        <w:rPr>
          <w:rFonts w:hint="eastAsia" w:hAnsi="宋体" w:cs="宋体"/>
          <w:b/>
          <w:bCs/>
          <w:sz w:val="32"/>
          <w:szCs w:val="32"/>
        </w:rPr>
      </w:pPr>
    </w:p>
    <w:p w14:paraId="379EA413">
      <w:pPr>
        <w:pStyle w:val="11"/>
        <w:spacing w:line="380" w:lineRule="exact"/>
        <w:jc w:val="center"/>
        <w:rPr>
          <w:rFonts w:hint="eastAsia" w:hAnsi="宋体" w:cs="宋体"/>
          <w:b/>
          <w:bCs/>
          <w:sz w:val="32"/>
          <w:szCs w:val="32"/>
        </w:rPr>
      </w:pPr>
    </w:p>
    <w:p w14:paraId="19075211">
      <w:pPr>
        <w:pStyle w:val="11"/>
        <w:keepNext w:val="0"/>
        <w:keepLines w:val="0"/>
        <w:pageBreakBefore w:val="0"/>
        <w:widowControl w:val="0"/>
        <w:kinsoku/>
        <w:wordWrap/>
        <w:overflowPunct/>
        <w:topLinePunct w:val="0"/>
        <w:autoSpaceDE/>
        <w:autoSpaceDN/>
        <w:bidi w:val="0"/>
        <w:adjustRightInd/>
        <w:snapToGrid/>
        <w:spacing w:before="164" w:beforeLines="50" w:after="164" w:afterLines="50" w:line="380" w:lineRule="exact"/>
        <w:jc w:val="center"/>
        <w:textAlignment w:val="auto"/>
        <w:rPr>
          <w:rFonts w:hAnsi="宋体" w:cs="宋体"/>
          <w:sz w:val="32"/>
          <w:szCs w:val="32"/>
        </w:rPr>
      </w:pPr>
      <w:r>
        <w:rPr>
          <w:rFonts w:hint="eastAsia" w:hAnsi="宋体" w:cs="宋体"/>
          <w:b/>
          <w:bCs/>
          <w:sz w:val="32"/>
          <w:szCs w:val="32"/>
        </w:rPr>
        <w:t>询价文件</w:t>
      </w:r>
    </w:p>
    <w:p w14:paraId="6E72A2BF">
      <w:pPr>
        <w:spacing w:line="460" w:lineRule="exact"/>
        <w:ind w:firstLine="420" w:firstLineChars="200"/>
        <w:rPr>
          <w:rFonts w:ascii="宋体" w:hAnsi="宋体" w:cs="宋体"/>
          <w:szCs w:val="21"/>
        </w:rPr>
      </w:pPr>
      <w:r>
        <w:rPr>
          <w:rFonts w:hint="eastAsia" w:ascii="宋体" w:hAnsi="宋体" w:cs="宋体"/>
          <w:szCs w:val="21"/>
        </w:rPr>
        <w:t>受江苏中吴常高新环保产业有限公司的委托，对其公司的</w:t>
      </w:r>
      <w:r>
        <w:rPr>
          <w:rFonts w:hint="eastAsia" w:ascii="宋体" w:hAnsi="宋体" w:cs="宋体"/>
          <w:szCs w:val="21"/>
          <w:lang w:eastAsia="zh-CN"/>
        </w:rPr>
        <w:t>综合楼二楼会议室大屏幕及配套会议设备</w:t>
      </w:r>
      <w:r>
        <w:rPr>
          <w:rFonts w:hint="eastAsia" w:ascii="宋体" w:hAnsi="宋体" w:cs="宋体"/>
          <w:szCs w:val="21"/>
        </w:rPr>
        <w:t>进行询价采购。特邀请符合条件的供应商参加。</w:t>
      </w:r>
    </w:p>
    <w:p w14:paraId="02C1B970">
      <w:pPr>
        <w:widowControl/>
        <w:snapToGrid w:val="0"/>
        <w:spacing w:line="460" w:lineRule="exact"/>
        <w:jc w:val="left"/>
        <w:rPr>
          <w:rFonts w:ascii="宋体" w:hAnsi="宋体" w:cs="宋体"/>
          <w:kern w:val="0"/>
          <w:szCs w:val="21"/>
        </w:rPr>
      </w:pPr>
      <w:r>
        <w:rPr>
          <w:rFonts w:hint="eastAsia" w:ascii="宋体" w:hAnsi="宋体" w:cs="宋体"/>
          <w:kern w:val="0"/>
          <w:szCs w:val="21"/>
        </w:rPr>
        <w:t>一、采购项目内容及技术要求</w:t>
      </w:r>
    </w:p>
    <w:p w14:paraId="788DB2A8">
      <w:pPr>
        <w:spacing w:line="460" w:lineRule="exact"/>
        <w:ind w:firstLine="420" w:firstLineChars="200"/>
        <w:jc w:val="left"/>
        <w:rPr>
          <w:rFonts w:hint="eastAsia" w:ascii="宋体" w:hAnsi="宋体" w:eastAsia="宋体" w:cs="宋体"/>
          <w:szCs w:val="21"/>
          <w:lang w:eastAsia="zh-CN"/>
        </w:rPr>
      </w:pPr>
      <w:r>
        <w:rPr>
          <w:rFonts w:hint="eastAsia" w:ascii="宋体" w:hAnsi="宋体" w:cs="宋体"/>
          <w:szCs w:val="21"/>
        </w:rPr>
        <w:t>项目编号：</w:t>
      </w:r>
      <w:r>
        <w:rPr>
          <w:rFonts w:hint="eastAsia" w:ascii="宋体" w:hAnsi="宋体" w:cs="宋体"/>
          <w:szCs w:val="21"/>
          <w:lang w:eastAsia="zh-CN"/>
        </w:rPr>
        <w:t xml:space="preserve">恒卓采询（2026）002号 </w:t>
      </w:r>
    </w:p>
    <w:p w14:paraId="4A512E07">
      <w:pPr>
        <w:spacing w:line="460" w:lineRule="exact"/>
        <w:ind w:firstLine="420" w:firstLineChars="200"/>
        <w:jc w:val="left"/>
        <w:rPr>
          <w:rFonts w:hint="eastAsia" w:ascii="宋体" w:hAnsi="宋体" w:eastAsia="宋体" w:cs="宋体"/>
          <w:szCs w:val="21"/>
          <w:lang w:eastAsia="zh-CN"/>
        </w:rPr>
      </w:pPr>
      <w:r>
        <w:rPr>
          <w:rFonts w:hint="eastAsia" w:ascii="宋体" w:hAnsi="宋体" w:cs="宋体"/>
          <w:szCs w:val="21"/>
        </w:rPr>
        <w:t>项目名称：</w:t>
      </w:r>
      <w:r>
        <w:rPr>
          <w:rFonts w:hint="eastAsia" w:ascii="宋体" w:hAnsi="宋体" w:cs="宋体"/>
          <w:szCs w:val="21"/>
          <w:lang w:eastAsia="zh-CN"/>
        </w:rPr>
        <w:t>综合楼二楼会议室大屏幕及配套会议设备</w:t>
      </w:r>
    </w:p>
    <w:p w14:paraId="751FD649">
      <w:pPr>
        <w:spacing w:line="460" w:lineRule="exact"/>
        <w:ind w:firstLine="422" w:firstLineChars="200"/>
        <w:jc w:val="left"/>
        <w:rPr>
          <w:rFonts w:ascii="宋体" w:hAnsi="宋体" w:cs="宋体"/>
          <w:szCs w:val="21"/>
        </w:rPr>
      </w:pPr>
      <w:r>
        <w:rPr>
          <w:rFonts w:hint="eastAsia" w:ascii="宋体" w:hAnsi="宋体" w:cs="宋体"/>
          <w:b/>
          <w:bCs/>
          <w:szCs w:val="21"/>
        </w:rPr>
        <w:t>采购预算/最高限价：</w:t>
      </w:r>
      <w:r>
        <w:rPr>
          <w:rFonts w:hint="eastAsia" w:ascii="宋体" w:hAnsi="宋体" w:cs="宋体"/>
          <w:b/>
          <w:bCs/>
          <w:lang w:eastAsia="zh-CN"/>
        </w:rPr>
        <w:t>294249.5元</w:t>
      </w:r>
      <w:r>
        <w:rPr>
          <w:rFonts w:hint="eastAsia" w:ascii="宋体" w:hAnsi="宋体" w:cs="宋体"/>
          <w:b/>
          <w:bCs/>
        </w:rPr>
        <w:t>，</w:t>
      </w:r>
      <w:r>
        <w:rPr>
          <w:rFonts w:hint="eastAsia" w:ascii="宋体" w:hAnsi="宋体" w:cs="宋体"/>
          <w:b/>
          <w:bCs/>
          <w:spacing w:val="2"/>
          <w:szCs w:val="21"/>
        </w:rPr>
        <w:t>投标报价不得超过最高限价，否则作无效响应处理。</w:t>
      </w:r>
    </w:p>
    <w:p w14:paraId="71EEB321">
      <w:pPr>
        <w:widowControl/>
        <w:snapToGrid w:val="0"/>
        <w:spacing w:line="460" w:lineRule="exact"/>
        <w:jc w:val="left"/>
        <w:rPr>
          <w:rFonts w:ascii="宋体" w:hAnsi="宋体" w:cs="宋体"/>
          <w:kern w:val="0"/>
          <w:szCs w:val="21"/>
        </w:rPr>
      </w:pPr>
      <w:r>
        <w:rPr>
          <w:rFonts w:hint="eastAsia" w:ascii="宋体" w:hAnsi="宋体" w:cs="宋体"/>
          <w:kern w:val="0"/>
          <w:szCs w:val="21"/>
        </w:rPr>
        <w:t>二、资格条件</w:t>
      </w:r>
    </w:p>
    <w:p w14:paraId="0B32B76B">
      <w:pPr>
        <w:spacing w:line="460" w:lineRule="exact"/>
        <w:ind w:firstLine="420" w:firstLineChars="200"/>
        <w:jc w:val="left"/>
        <w:rPr>
          <w:rFonts w:ascii="宋体" w:hAnsi="宋体" w:cs="宋体"/>
          <w:szCs w:val="21"/>
        </w:rPr>
      </w:pPr>
      <w:r>
        <w:rPr>
          <w:rFonts w:hint="eastAsia" w:ascii="宋体" w:hAnsi="宋体" w:cs="宋体"/>
          <w:szCs w:val="21"/>
        </w:rPr>
        <w:t>（一）具备《中华人民共和国政府采购法》第二十二条规定条件的法人；</w:t>
      </w:r>
    </w:p>
    <w:p w14:paraId="6F0817EC">
      <w:pPr>
        <w:spacing w:line="460" w:lineRule="exact"/>
        <w:ind w:firstLine="420" w:firstLineChars="200"/>
        <w:jc w:val="left"/>
        <w:rPr>
          <w:rFonts w:ascii="宋体" w:hAnsi="宋体" w:cs="宋体"/>
          <w:szCs w:val="21"/>
        </w:rPr>
      </w:pPr>
      <w:r>
        <w:rPr>
          <w:rFonts w:hint="eastAsia" w:ascii="宋体" w:hAnsi="宋体" w:cs="宋体"/>
          <w:szCs w:val="21"/>
        </w:rPr>
        <w:t xml:space="preserve">1. 具有独立承担民事责任的能力； </w:t>
      </w:r>
    </w:p>
    <w:p w14:paraId="7B3C5211">
      <w:pPr>
        <w:spacing w:line="460" w:lineRule="exact"/>
        <w:ind w:firstLine="420" w:firstLineChars="200"/>
        <w:jc w:val="left"/>
        <w:rPr>
          <w:rFonts w:ascii="宋体" w:hAnsi="宋体" w:cs="宋体"/>
          <w:szCs w:val="21"/>
        </w:rPr>
      </w:pPr>
      <w:r>
        <w:rPr>
          <w:rFonts w:hint="eastAsia" w:ascii="宋体" w:hAnsi="宋体" w:cs="宋体"/>
          <w:szCs w:val="21"/>
        </w:rPr>
        <w:t xml:space="preserve">2. 具有良好的商业信誉和健全的财务会计制度； </w:t>
      </w:r>
    </w:p>
    <w:p w14:paraId="04C1938D">
      <w:pPr>
        <w:spacing w:line="460" w:lineRule="exact"/>
        <w:ind w:firstLine="420" w:firstLineChars="200"/>
        <w:jc w:val="left"/>
        <w:rPr>
          <w:rFonts w:ascii="宋体" w:hAnsi="宋体" w:cs="宋体"/>
          <w:szCs w:val="21"/>
        </w:rPr>
      </w:pPr>
      <w:r>
        <w:rPr>
          <w:rFonts w:hint="eastAsia" w:ascii="宋体" w:hAnsi="宋体" w:cs="宋体"/>
          <w:szCs w:val="21"/>
        </w:rPr>
        <w:t xml:space="preserve">3. 具有履行合同所必须的设备和专业技术能力； </w:t>
      </w:r>
    </w:p>
    <w:p w14:paraId="6258DD72">
      <w:pPr>
        <w:spacing w:line="460" w:lineRule="exact"/>
        <w:ind w:firstLine="420" w:firstLineChars="200"/>
        <w:jc w:val="left"/>
        <w:rPr>
          <w:rFonts w:ascii="宋体" w:hAnsi="宋体" w:cs="宋体"/>
          <w:szCs w:val="21"/>
        </w:rPr>
      </w:pPr>
      <w:r>
        <w:rPr>
          <w:rFonts w:hint="eastAsia" w:ascii="宋体" w:hAnsi="宋体" w:cs="宋体"/>
          <w:szCs w:val="21"/>
        </w:rPr>
        <w:t xml:space="preserve">4.有依法缴纳税收和社会保障资金的良好记录； </w:t>
      </w:r>
    </w:p>
    <w:p w14:paraId="008BF5BB">
      <w:pPr>
        <w:spacing w:line="460" w:lineRule="exact"/>
        <w:ind w:firstLine="420" w:firstLineChars="200"/>
        <w:jc w:val="left"/>
        <w:rPr>
          <w:rFonts w:ascii="宋体" w:hAnsi="宋体" w:cs="宋体"/>
          <w:szCs w:val="21"/>
        </w:rPr>
      </w:pPr>
      <w:r>
        <w:rPr>
          <w:rFonts w:hint="eastAsia" w:ascii="宋体" w:hAnsi="宋体" w:cs="宋体"/>
          <w:szCs w:val="21"/>
        </w:rPr>
        <w:t>5.参加政府采购活动前三年内，在经营活动中没有重大违法记录；</w:t>
      </w:r>
    </w:p>
    <w:p w14:paraId="6E145EF6">
      <w:pPr>
        <w:spacing w:line="460" w:lineRule="exact"/>
        <w:ind w:firstLine="420" w:firstLineChars="200"/>
        <w:jc w:val="left"/>
        <w:rPr>
          <w:rFonts w:ascii="宋体" w:hAnsi="宋体" w:cs="宋体"/>
          <w:szCs w:val="21"/>
        </w:rPr>
      </w:pPr>
      <w:r>
        <w:rPr>
          <w:rFonts w:hint="eastAsia" w:ascii="宋体" w:hAnsi="宋体" w:cs="宋体"/>
          <w:szCs w:val="21"/>
        </w:rPr>
        <w:t>6.法律、行政法规规定的其他条件</w:t>
      </w:r>
    </w:p>
    <w:p w14:paraId="05D3FB1F">
      <w:pPr>
        <w:spacing w:line="460" w:lineRule="exact"/>
        <w:ind w:firstLine="420" w:firstLineChars="200"/>
        <w:jc w:val="left"/>
        <w:rPr>
          <w:rFonts w:ascii="宋体" w:hAnsi="宋体" w:cs="宋体"/>
          <w:szCs w:val="21"/>
        </w:rPr>
      </w:pPr>
      <w:r>
        <w:rPr>
          <w:rFonts w:hint="eastAsia" w:ascii="宋体" w:hAnsi="宋体" w:cs="宋体"/>
        </w:rPr>
        <w:t>（二）</w:t>
      </w:r>
      <w:r>
        <w:rPr>
          <w:rFonts w:hint="eastAsia" w:ascii="宋体" w:hAnsi="宋体" w:cs="宋体"/>
          <w:szCs w:val="21"/>
        </w:rPr>
        <w:t>单位负责人为同一人或者存在直接控股、管理关系的不同供应商，不得参加同一合同项下的政府采购活动；</w:t>
      </w:r>
    </w:p>
    <w:p w14:paraId="2B01B7B4">
      <w:pPr>
        <w:spacing w:line="460" w:lineRule="exact"/>
        <w:ind w:firstLine="420" w:firstLineChars="200"/>
        <w:jc w:val="left"/>
        <w:rPr>
          <w:rFonts w:ascii="宋体" w:hAnsi="宋体" w:cs="宋体"/>
          <w:szCs w:val="21"/>
        </w:rPr>
      </w:pPr>
      <w:r>
        <w:rPr>
          <w:rFonts w:hint="eastAsia" w:ascii="宋体" w:hAnsi="宋体" w:cs="宋体"/>
        </w:rPr>
        <w:t>（三）</w:t>
      </w:r>
      <w:r>
        <w:rPr>
          <w:rFonts w:hint="eastAsia" w:ascii="宋体" w:hAnsi="宋体" w:cs="宋体"/>
          <w:szCs w:val="21"/>
        </w:rPr>
        <w:t>具有营业执照副本</w:t>
      </w:r>
    </w:p>
    <w:p w14:paraId="4D29AB24">
      <w:pPr>
        <w:spacing w:line="460" w:lineRule="exact"/>
        <w:ind w:firstLine="420" w:firstLineChars="200"/>
        <w:jc w:val="left"/>
        <w:rPr>
          <w:rFonts w:ascii="宋体" w:hAnsi="宋体" w:cs="宋体"/>
          <w:szCs w:val="21"/>
        </w:rPr>
      </w:pPr>
      <w:r>
        <w:rPr>
          <w:rFonts w:hint="eastAsia" w:ascii="宋体" w:hAnsi="宋体" w:cs="宋体"/>
        </w:rPr>
        <w:t>（四）</w:t>
      </w:r>
      <w:r>
        <w:rPr>
          <w:rFonts w:hint="eastAsia" w:ascii="宋体" w:hAnsi="宋体" w:cs="宋体"/>
          <w:szCs w:val="21"/>
        </w:rPr>
        <w:t>未被“信用中国”网站（www.creditchina.gov.cn）、中国政府采购网 (www.ccgp.gov.cn)列入失信被执行人、</w:t>
      </w:r>
      <w:r>
        <w:rPr>
          <w:rFonts w:hint="eastAsia" w:ascii="宋体" w:hAnsi="宋体" w:cs="宋体"/>
          <w:szCs w:val="21"/>
          <w:lang w:eastAsia="zh-CN"/>
        </w:rPr>
        <w:t>重大税收违法失信主体名单</w:t>
      </w:r>
      <w:r>
        <w:rPr>
          <w:rFonts w:hint="eastAsia" w:ascii="宋体" w:hAnsi="宋体" w:cs="宋体"/>
          <w:szCs w:val="21"/>
        </w:rPr>
        <w:t>、政府采购严重失信行为记录名单。</w:t>
      </w:r>
    </w:p>
    <w:p w14:paraId="4A369AA3">
      <w:pPr>
        <w:spacing w:line="460" w:lineRule="exact"/>
        <w:jc w:val="left"/>
        <w:rPr>
          <w:rFonts w:ascii="宋体" w:hAnsi="宋体" w:cs="宋体"/>
          <w:szCs w:val="21"/>
        </w:rPr>
      </w:pPr>
      <w:r>
        <w:rPr>
          <w:rFonts w:hint="eastAsia" w:ascii="宋体" w:hAnsi="宋体" w:cs="宋体"/>
          <w:szCs w:val="21"/>
        </w:rPr>
        <w:t>三、询价响应文件的组成及要求</w:t>
      </w:r>
    </w:p>
    <w:p w14:paraId="70EA730E">
      <w:pPr>
        <w:spacing w:line="460" w:lineRule="exact"/>
        <w:ind w:firstLine="420" w:firstLineChars="200"/>
        <w:jc w:val="left"/>
        <w:rPr>
          <w:rFonts w:ascii="宋体" w:hAnsi="宋体" w:cs="宋体"/>
          <w:szCs w:val="21"/>
        </w:rPr>
      </w:pPr>
      <w:r>
        <w:rPr>
          <w:rFonts w:hint="eastAsia" w:ascii="宋体" w:hAnsi="宋体" w:cs="宋体"/>
          <w:szCs w:val="21"/>
        </w:rPr>
        <w:t>（一）文件组成：</w:t>
      </w:r>
    </w:p>
    <w:p w14:paraId="30CA8E54">
      <w:pPr>
        <w:spacing w:line="460" w:lineRule="exact"/>
        <w:ind w:firstLine="420" w:firstLineChars="200"/>
        <w:jc w:val="left"/>
        <w:rPr>
          <w:rFonts w:ascii="宋体" w:hAnsi="宋体" w:cs="宋体"/>
          <w:szCs w:val="21"/>
        </w:rPr>
      </w:pPr>
      <w:r>
        <w:rPr>
          <w:rFonts w:hint="eastAsia" w:ascii="宋体" w:hAnsi="宋体" w:cs="宋体"/>
          <w:szCs w:val="21"/>
        </w:rPr>
        <w:t>1.投标函</w:t>
      </w:r>
    </w:p>
    <w:p w14:paraId="7FF5275B">
      <w:pPr>
        <w:spacing w:line="460" w:lineRule="exact"/>
        <w:ind w:firstLine="420" w:firstLineChars="200"/>
        <w:jc w:val="left"/>
        <w:rPr>
          <w:rFonts w:ascii="宋体" w:hAnsi="宋体" w:cs="宋体"/>
          <w:szCs w:val="21"/>
        </w:rPr>
      </w:pPr>
      <w:r>
        <w:rPr>
          <w:rFonts w:hint="eastAsia" w:ascii="宋体" w:hAnsi="宋体" w:cs="宋体"/>
          <w:szCs w:val="21"/>
        </w:rPr>
        <w:t>2.</w:t>
      </w:r>
      <w:r>
        <w:rPr>
          <w:rFonts w:hint="eastAsia" w:ascii="宋体" w:hAnsi="宋体" w:cs="宋体"/>
          <w:szCs w:val="21"/>
          <w:lang w:val="zh-CN"/>
        </w:rPr>
        <w:t>承诺函</w:t>
      </w:r>
    </w:p>
    <w:p w14:paraId="4290A13C">
      <w:pPr>
        <w:spacing w:line="460" w:lineRule="exact"/>
        <w:ind w:firstLine="420" w:firstLineChars="200"/>
        <w:jc w:val="left"/>
        <w:rPr>
          <w:rFonts w:ascii="宋体" w:hAnsi="宋体" w:cs="宋体"/>
          <w:szCs w:val="21"/>
          <w:lang w:val="zh-CN"/>
        </w:rPr>
      </w:pPr>
      <w:r>
        <w:rPr>
          <w:rFonts w:hint="eastAsia" w:ascii="宋体" w:hAnsi="宋体" w:cs="宋体"/>
          <w:szCs w:val="21"/>
        </w:rPr>
        <w:t>3.法定代表人身份证明复印件；授权委托书、代理人身份证复印件（如果有授权委托情况的，必须提供）（后附法定代表人授权委托书格式）</w:t>
      </w:r>
    </w:p>
    <w:p w14:paraId="1B9B8738">
      <w:pPr>
        <w:spacing w:line="460" w:lineRule="exact"/>
        <w:ind w:firstLine="422" w:firstLineChars="200"/>
        <w:jc w:val="left"/>
        <w:rPr>
          <w:rFonts w:ascii="宋体" w:hAnsi="宋体" w:cs="宋体"/>
          <w:b/>
          <w:bCs/>
          <w:szCs w:val="21"/>
        </w:rPr>
      </w:pPr>
      <w:r>
        <w:rPr>
          <w:rFonts w:hint="eastAsia" w:ascii="宋体" w:hAnsi="宋体" w:cs="宋体"/>
          <w:b/>
          <w:bCs/>
          <w:szCs w:val="21"/>
        </w:rPr>
        <w:t>4.营业执照副本复印件加盖公章；</w:t>
      </w:r>
    </w:p>
    <w:p w14:paraId="34B196CD">
      <w:pPr>
        <w:spacing w:line="460" w:lineRule="exact"/>
        <w:ind w:firstLine="420" w:firstLineChars="200"/>
        <w:jc w:val="left"/>
        <w:rPr>
          <w:rFonts w:ascii="宋体" w:hAnsi="宋体" w:cs="宋体"/>
          <w:szCs w:val="21"/>
        </w:rPr>
      </w:pPr>
      <w:r>
        <w:rPr>
          <w:rFonts w:hint="eastAsia" w:ascii="宋体" w:hAnsi="宋体" w:cs="宋体"/>
          <w:szCs w:val="21"/>
        </w:rPr>
        <w:t>5.未被“信用中国”网站（www.creditchina.gov.cn）、中国政府采购网 (www.ccgp.gov.cn)列入失信被执行人、</w:t>
      </w:r>
      <w:r>
        <w:rPr>
          <w:rFonts w:hint="eastAsia" w:ascii="宋体" w:hAnsi="宋体" w:cs="宋体"/>
          <w:szCs w:val="21"/>
          <w:lang w:eastAsia="zh-CN"/>
        </w:rPr>
        <w:t>重大税收违法失信主体名单</w:t>
      </w:r>
      <w:r>
        <w:rPr>
          <w:rFonts w:hint="eastAsia" w:ascii="宋体" w:hAnsi="宋体" w:cs="宋体"/>
          <w:szCs w:val="21"/>
        </w:rPr>
        <w:t>、政府采购严重失信行为记录名单（以开标后现场查询结果为准）；</w:t>
      </w:r>
    </w:p>
    <w:p w14:paraId="46C0547E">
      <w:pPr>
        <w:spacing w:line="460" w:lineRule="exact"/>
        <w:ind w:firstLine="420" w:firstLineChars="200"/>
        <w:jc w:val="left"/>
        <w:rPr>
          <w:rFonts w:ascii="宋体" w:hAnsi="宋体" w:cs="宋体"/>
          <w:szCs w:val="21"/>
        </w:rPr>
      </w:pPr>
      <w:r>
        <w:rPr>
          <w:rFonts w:hint="eastAsia" w:ascii="宋体" w:hAnsi="宋体" w:cs="宋体"/>
          <w:szCs w:val="21"/>
        </w:rPr>
        <w:t>（二）技术</w:t>
      </w:r>
      <w:r>
        <w:rPr>
          <w:rFonts w:hint="eastAsia" w:ascii="宋体" w:hAnsi="宋体" w:cs="宋体"/>
          <w:szCs w:val="21"/>
          <w:lang w:val="en-US" w:eastAsia="zh-CN"/>
        </w:rPr>
        <w:t>/商务</w:t>
      </w:r>
      <w:r>
        <w:rPr>
          <w:rFonts w:hint="eastAsia" w:ascii="宋体" w:hAnsi="宋体" w:cs="宋体"/>
          <w:szCs w:val="21"/>
        </w:rPr>
        <w:t>部分</w:t>
      </w:r>
    </w:p>
    <w:p w14:paraId="5CE45435">
      <w:pPr>
        <w:spacing w:line="460" w:lineRule="exact"/>
        <w:ind w:firstLine="422" w:firstLineChars="200"/>
        <w:jc w:val="left"/>
        <w:rPr>
          <w:rFonts w:ascii="宋体" w:hAnsi="宋体" w:cs="宋体"/>
          <w:b/>
          <w:bCs/>
          <w:szCs w:val="21"/>
        </w:rPr>
      </w:pPr>
      <w:r>
        <w:rPr>
          <w:rFonts w:hint="eastAsia" w:ascii="宋体" w:hAnsi="宋体" w:cs="宋体"/>
          <w:b/>
          <w:bCs/>
          <w:szCs w:val="21"/>
        </w:rPr>
        <w:t>1.</w:t>
      </w:r>
      <w:r>
        <w:rPr>
          <w:rFonts w:hint="eastAsia" w:ascii="宋体" w:hAnsi="宋体" w:cs="宋体"/>
          <w:b/>
          <w:bCs/>
          <w:szCs w:val="21"/>
          <w:lang w:val="zh-CN"/>
        </w:rPr>
        <w:t>偏离表；</w:t>
      </w:r>
    </w:p>
    <w:p w14:paraId="0501D294">
      <w:pPr>
        <w:spacing w:line="460" w:lineRule="exact"/>
        <w:ind w:firstLine="422" w:firstLineChars="200"/>
        <w:jc w:val="left"/>
        <w:rPr>
          <w:rFonts w:hint="eastAsia" w:ascii="宋体" w:hAnsi="宋体" w:eastAsia="宋体" w:cs="宋体"/>
          <w:b/>
          <w:bCs/>
          <w:szCs w:val="21"/>
          <w:lang w:val="zh-CN"/>
        </w:rPr>
      </w:pPr>
      <w:r>
        <w:rPr>
          <w:rFonts w:hint="eastAsia" w:ascii="宋体" w:hAnsi="宋体" w:cs="宋体"/>
          <w:b/>
          <w:bCs/>
          <w:szCs w:val="21"/>
        </w:rPr>
        <w:t>2.</w:t>
      </w:r>
      <w:r>
        <w:rPr>
          <w:rFonts w:hint="eastAsia" w:ascii="宋体" w:hAnsi="宋体" w:eastAsia="宋体" w:cs="宋体"/>
          <w:b/>
          <w:bCs/>
          <w:szCs w:val="21"/>
          <w:lang w:val="zh-CN"/>
        </w:rPr>
        <w:t>质量保证、</w:t>
      </w:r>
      <w:r>
        <w:rPr>
          <w:rFonts w:hint="eastAsia" w:ascii="宋体" w:hAnsi="宋体" w:eastAsia="宋体" w:cs="宋体"/>
          <w:b/>
          <w:bCs/>
          <w:szCs w:val="21"/>
          <w:lang w:val="en-US" w:eastAsia="zh-CN"/>
        </w:rPr>
        <w:t>售后</w:t>
      </w:r>
      <w:r>
        <w:rPr>
          <w:rFonts w:hint="eastAsia" w:ascii="宋体" w:hAnsi="宋体" w:eastAsia="宋体" w:cs="宋体"/>
          <w:b/>
          <w:bCs/>
          <w:szCs w:val="21"/>
          <w:lang w:val="zh-CN"/>
        </w:rPr>
        <w:t>服务承诺书；</w:t>
      </w:r>
    </w:p>
    <w:p w14:paraId="7EB8C325">
      <w:pPr>
        <w:spacing w:line="460" w:lineRule="exact"/>
        <w:ind w:firstLine="422" w:firstLineChars="200"/>
        <w:jc w:val="left"/>
        <w:rPr>
          <w:rFonts w:ascii="宋体" w:hAnsi="宋体" w:cs="宋体"/>
          <w:b/>
          <w:bCs/>
          <w:szCs w:val="21"/>
        </w:rPr>
      </w:pPr>
      <w:r>
        <w:rPr>
          <w:rFonts w:hint="eastAsia" w:ascii="宋体" w:hAnsi="宋体" w:cs="宋体"/>
          <w:b/>
          <w:bCs/>
          <w:szCs w:val="21"/>
        </w:rPr>
        <w:t>3.拟派项目组成员一览表；</w:t>
      </w:r>
    </w:p>
    <w:p w14:paraId="418A60C7">
      <w:pPr>
        <w:spacing w:line="460" w:lineRule="exact"/>
        <w:ind w:firstLine="422" w:firstLineChars="200"/>
        <w:jc w:val="left"/>
        <w:rPr>
          <w:rFonts w:ascii="宋体" w:hAnsi="宋体" w:cs="宋体"/>
          <w:b/>
          <w:bCs/>
          <w:szCs w:val="21"/>
        </w:rPr>
      </w:pPr>
      <w:r>
        <w:rPr>
          <w:rFonts w:hint="eastAsia" w:ascii="宋体" w:hAnsi="宋体" w:cs="宋体"/>
          <w:b/>
          <w:bCs/>
          <w:szCs w:val="21"/>
        </w:rPr>
        <w:t>4.供应商管理关系或控股关系信息情况表；</w:t>
      </w:r>
    </w:p>
    <w:p w14:paraId="5F500CE2">
      <w:pPr>
        <w:spacing w:line="460" w:lineRule="exact"/>
        <w:ind w:firstLine="422" w:firstLineChars="200"/>
        <w:jc w:val="left"/>
        <w:rPr>
          <w:rFonts w:hint="eastAsia" w:ascii="宋体" w:hAnsi="宋体" w:eastAsia="宋体" w:cs="宋体"/>
          <w:b/>
          <w:bCs/>
          <w:szCs w:val="21"/>
          <w:lang w:val="en-US" w:eastAsia="zh-CN"/>
        </w:rPr>
      </w:pPr>
      <w:r>
        <w:rPr>
          <w:rFonts w:hint="eastAsia" w:ascii="宋体" w:hAnsi="宋体" w:eastAsia="宋体" w:cs="宋体"/>
          <w:b/>
          <w:bCs/>
          <w:szCs w:val="21"/>
          <w:lang w:val="en-US" w:eastAsia="zh-CN"/>
        </w:rPr>
        <w:t>5.</w:t>
      </w:r>
      <w:r>
        <w:rPr>
          <w:rFonts w:hint="eastAsia" w:ascii="宋体" w:hAnsi="宋体" w:eastAsia="宋体" w:cs="宋体"/>
          <w:b/>
          <w:bCs/>
          <w:szCs w:val="21"/>
        </w:rPr>
        <w:t>投标保证金缴纳证明</w:t>
      </w:r>
      <w:r>
        <w:rPr>
          <w:rFonts w:hint="eastAsia" w:ascii="宋体" w:hAnsi="宋体" w:cs="宋体"/>
          <w:b/>
          <w:bCs/>
          <w:szCs w:val="21"/>
          <w:lang w:eastAsia="zh-CN"/>
        </w:rPr>
        <w:t>；</w:t>
      </w:r>
    </w:p>
    <w:p w14:paraId="4AD83C13">
      <w:pPr>
        <w:spacing w:line="460" w:lineRule="exact"/>
        <w:ind w:firstLine="420" w:firstLineChars="200"/>
        <w:jc w:val="left"/>
        <w:rPr>
          <w:rFonts w:ascii="宋体" w:hAnsi="宋体" w:cs="宋体"/>
          <w:szCs w:val="21"/>
          <w:lang w:val="zh-CN"/>
        </w:rPr>
      </w:pP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szCs w:val="21"/>
          <w:lang w:val="zh-CN"/>
        </w:rPr>
        <w:t>供应商认为需要提供的其他技术文件或资料等。</w:t>
      </w:r>
    </w:p>
    <w:p w14:paraId="01ABF55A">
      <w:pPr>
        <w:spacing w:line="460" w:lineRule="exact"/>
        <w:ind w:firstLine="420" w:firstLineChars="200"/>
        <w:jc w:val="left"/>
        <w:rPr>
          <w:rFonts w:ascii="宋体" w:hAnsi="宋体" w:cs="宋体"/>
          <w:szCs w:val="21"/>
        </w:rPr>
      </w:pPr>
      <w:r>
        <w:rPr>
          <w:rFonts w:hint="eastAsia" w:ascii="宋体" w:hAnsi="宋体" w:cs="宋体"/>
          <w:szCs w:val="21"/>
        </w:rPr>
        <w:t>（三）报价部分</w:t>
      </w:r>
    </w:p>
    <w:p w14:paraId="04FAEB87">
      <w:pPr>
        <w:spacing w:line="460" w:lineRule="exact"/>
        <w:ind w:firstLine="420" w:firstLineChars="200"/>
        <w:jc w:val="left"/>
        <w:rPr>
          <w:rFonts w:hint="default" w:ascii="宋体" w:hAnsi="宋体" w:eastAsia="宋体" w:cs="宋体"/>
          <w:szCs w:val="21"/>
          <w:lang w:val="en-US" w:eastAsia="zh-CN"/>
        </w:rPr>
      </w:pPr>
      <w:r>
        <w:rPr>
          <w:rFonts w:hint="eastAsia" w:ascii="宋体" w:hAnsi="宋体" w:cs="宋体"/>
          <w:szCs w:val="21"/>
        </w:rPr>
        <w:t>1.开标一览表、</w:t>
      </w:r>
      <w:r>
        <w:rPr>
          <w:rFonts w:hint="eastAsia" w:ascii="宋体" w:hAnsi="宋体" w:cs="宋体"/>
          <w:szCs w:val="21"/>
          <w:lang w:val="en-US" w:eastAsia="zh-CN"/>
        </w:rPr>
        <w:t>分项报价表</w:t>
      </w:r>
    </w:p>
    <w:p w14:paraId="4B34E3AE">
      <w:pPr>
        <w:spacing w:line="460" w:lineRule="exact"/>
        <w:ind w:firstLine="422" w:firstLineChars="200"/>
        <w:jc w:val="left"/>
        <w:rPr>
          <w:rFonts w:ascii="宋体" w:hAnsi="宋体" w:cs="宋体"/>
          <w:b/>
          <w:bCs/>
          <w:szCs w:val="21"/>
        </w:rPr>
      </w:pPr>
      <w:r>
        <w:rPr>
          <w:rFonts w:hint="eastAsia" w:ascii="宋体" w:hAnsi="宋体" w:cs="宋体"/>
          <w:b/>
          <w:bCs/>
          <w:szCs w:val="21"/>
        </w:rPr>
        <w:t xml:space="preserve">  上述（一）-（三）项所有内容为必备材料，如有缺项为无效响应。</w:t>
      </w:r>
    </w:p>
    <w:p w14:paraId="5CF3E310">
      <w:pPr>
        <w:spacing w:line="460" w:lineRule="exact"/>
        <w:jc w:val="left"/>
        <w:rPr>
          <w:rFonts w:ascii="宋体" w:hAnsi="宋体" w:cs="宋体"/>
          <w:b/>
          <w:bCs/>
          <w:szCs w:val="21"/>
        </w:rPr>
      </w:pPr>
      <w:r>
        <w:rPr>
          <w:rFonts w:hint="eastAsia" w:ascii="宋体" w:hAnsi="宋体" w:cs="宋体"/>
          <w:b/>
          <w:bCs/>
          <w:szCs w:val="21"/>
        </w:rPr>
        <w:t>四、响应文件的制作应当符合以下要求，否则作为无效响应文件：</w:t>
      </w:r>
    </w:p>
    <w:p w14:paraId="633EEED1">
      <w:pPr>
        <w:spacing w:line="460" w:lineRule="exact"/>
        <w:ind w:firstLine="420" w:firstLineChars="200"/>
        <w:jc w:val="left"/>
        <w:rPr>
          <w:rFonts w:ascii="宋体" w:hAnsi="宋体" w:cs="宋体"/>
          <w:szCs w:val="21"/>
        </w:rPr>
      </w:pPr>
      <w:r>
        <w:rPr>
          <w:rFonts w:hint="eastAsia" w:ascii="宋体" w:hAnsi="宋体" w:cs="宋体"/>
          <w:szCs w:val="21"/>
        </w:rPr>
        <w:t>1.</w:t>
      </w:r>
      <w:r>
        <w:rPr>
          <w:rFonts w:hint="eastAsia" w:ascii="宋体" w:hAnsi="宋体" w:cs="宋体"/>
          <w:b/>
          <w:bCs/>
          <w:color w:val="FF0000"/>
          <w:szCs w:val="21"/>
        </w:rPr>
        <w:t>竞标人应提交</w:t>
      </w:r>
      <w:r>
        <w:rPr>
          <w:rFonts w:hint="eastAsia" w:ascii="宋体" w:hAnsi="宋体" w:cs="宋体"/>
          <w:b/>
          <w:bCs/>
          <w:color w:val="FF0000"/>
          <w:szCs w:val="21"/>
          <w:u w:val="single"/>
        </w:rPr>
        <w:t>胶装的响应文件壹份“正本”、贰份“副本”、壹份“U盘”（U盘里须包含响应文件盖公章（红章）正本的PDF扫描件，所提供内容应与纸质文件完全一致）。</w:t>
      </w:r>
      <w:r>
        <w:rPr>
          <w:rFonts w:hint="eastAsia" w:ascii="宋体" w:hAnsi="宋体" w:cs="宋体"/>
          <w:szCs w:val="21"/>
        </w:rPr>
        <w:t>响应文件正本和副本如有不一致之处，以正本为准；</w:t>
      </w:r>
    </w:p>
    <w:p w14:paraId="1E4CC672">
      <w:pPr>
        <w:spacing w:line="440" w:lineRule="exact"/>
        <w:ind w:firstLine="420" w:firstLineChars="200"/>
        <w:rPr>
          <w:rFonts w:ascii="宋体" w:hAnsi="宋体" w:cs="宋体"/>
          <w:color w:val="FF0000"/>
          <w:szCs w:val="21"/>
        </w:rPr>
      </w:pPr>
      <w:r>
        <w:rPr>
          <w:rFonts w:hint="eastAsia" w:ascii="宋体" w:hAnsi="宋体" w:cs="宋体"/>
          <w:szCs w:val="21"/>
        </w:rPr>
        <w:t>2.响应文件正本、副本必须全部是打印件。竞标人应按照要求，在规定的地方加盖单位公章以及竞标人法定代表人（或其委托代理人）签字。</w:t>
      </w:r>
      <w:r>
        <w:rPr>
          <w:rFonts w:hint="eastAsia" w:ascii="宋体" w:hAnsi="宋体" w:cs="宋体"/>
          <w:b/>
          <w:color w:val="FF0000"/>
          <w:szCs w:val="21"/>
        </w:rPr>
        <w:t>本文件所表述（指定）的公章是指法定名称章，不包括合同专用章、业务专用章等印章。</w:t>
      </w:r>
    </w:p>
    <w:p w14:paraId="6CC37E58">
      <w:pPr>
        <w:spacing w:line="440" w:lineRule="exact"/>
        <w:ind w:firstLine="420" w:firstLineChars="200"/>
        <w:rPr>
          <w:rFonts w:ascii="宋体" w:hAnsi="宋体" w:cs="宋体"/>
          <w:szCs w:val="21"/>
        </w:rPr>
      </w:pPr>
      <w:r>
        <w:rPr>
          <w:rFonts w:hint="eastAsia" w:ascii="宋体" w:hAnsi="宋体" w:cs="宋体"/>
          <w:szCs w:val="21"/>
        </w:rPr>
        <w:t>3.响应文件应无涂改和行间插字，竞标人造成的必须修改的错误，修改处应由响应文件签字人签字证明并加盖公章，否则修改无效。</w:t>
      </w:r>
    </w:p>
    <w:p w14:paraId="7B989C90">
      <w:pPr>
        <w:spacing w:line="440" w:lineRule="exact"/>
        <w:ind w:firstLine="420" w:firstLineChars="200"/>
        <w:rPr>
          <w:rFonts w:ascii="宋体" w:hAnsi="宋体" w:cs="宋体"/>
          <w:szCs w:val="21"/>
        </w:rPr>
      </w:pPr>
      <w:r>
        <w:rPr>
          <w:rFonts w:hint="eastAsia" w:ascii="宋体" w:hAnsi="宋体" w:cs="宋体"/>
          <w:szCs w:val="21"/>
        </w:rPr>
        <w:t>4.竞标报价清晰准确，不存在影响其他竞标人评分的严重错误。</w:t>
      </w:r>
    </w:p>
    <w:p w14:paraId="3720B936">
      <w:pPr>
        <w:spacing w:line="440" w:lineRule="exact"/>
        <w:rPr>
          <w:rFonts w:ascii="宋体" w:hAnsi="宋体" w:cs="宋体"/>
          <w:szCs w:val="21"/>
        </w:rPr>
      </w:pPr>
      <w:r>
        <w:rPr>
          <w:rFonts w:hint="eastAsia" w:ascii="宋体" w:hAnsi="宋体" w:cs="宋体"/>
          <w:b/>
          <w:szCs w:val="21"/>
        </w:rPr>
        <w:t>五、响应文件的密封、装订与标志</w:t>
      </w:r>
    </w:p>
    <w:p w14:paraId="570253B1">
      <w:pPr>
        <w:spacing w:line="440" w:lineRule="exact"/>
        <w:ind w:firstLine="420" w:firstLineChars="200"/>
        <w:rPr>
          <w:rFonts w:ascii="宋体" w:hAnsi="宋体" w:cs="宋体"/>
          <w:szCs w:val="21"/>
        </w:rPr>
      </w:pPr>
      <w:r>
        <w:rPr>
          <w:rFonts w:hint="eastAsia" w:ascii="宋体" w:hAnsi="宋体" w:cs="宋体"/>
          <w:szCs w:val="21"/>
        </w:rPr>
        <w:t>1.竞标人应将响应文件正本、所有副本、U盘密封。不论竞标人中标与否，响应文件均不退回。</w:t>
      </w:r>
    </w:p>
    <w:p w14:paraId="5CC9D97F">
      <w:pPr>
        <w:spacing w:line="440" w:lineRule="exact"/>
        <w:ind w:firstLine="422" w:firstLineChars="200"/>
        <w:rPr>
          <w:rFonts w:ascii="宋体" w:hAnsi="宋体" w:cs="宋体"/>
          <w:b/>
          <w:bCs/>
          <w:color w:val="FF0000"/>
          <w:szCs w:val="21"/>
        </w:rPr>
      </w:pPr>
      <w:r>
        <w:rPr>
          <w:rFonts w:hint="eastAsia" w:ascii="宋体" w:hAnsi="宋体" w:cs="宋体"/>
          <w:b/>
          <w:bCs/>
          <w:color w:val="FF0000"/>
          <w:szCs w:val="21"/>
        </w:rPr>
        <w:t>2.所有封袋上都应写明竞标人名称、询价项目名称、询价项目编号、加盖竞标人公章。如因标注不清而产生的后果由竞标人自负。</w:t>
      </w:r>
    </w:p>
    <w:p w14:paraId="1C19F44E">
      <w:pPr>
        <w:spacing w:line="440" w:lineRule="exact"/>
        <w:ind w:firstLine="420" w:firstLineChars="200"/>
        <w:rPr>
          <w:rFonts w:ascii="宋体" w:hAnsi="宋体" w:cs="宋体"/>
          <w:szCs w:val="21"/>
        </w:rPr>
      </w:pPr>
      <w:r>
        <w:rPr>
          <w:rFonts w:hint="eastAsia" w:ascii="宋体" w:hAnsi="宋体" w:cs="宋体"/>
          <w:szCs w:val="21"/>
        </w:rPr>
        <w:t>3.竞标人违反上述规定的，其竞标文件将被作为无效响应文件，不予拆封和参加评审。</w:t>
      </w:r>
    </w:p>
    <w:p w14:paraId="1309C362">
      <w:pPr>
        <w:spacing w:line="440" w:lineRule="exact"/>
        <w:rPr>
          <w:rFonts w:ascii="宋体" w:hAnsi="宋体" w:cs="宋体"/>
          <w:b/>
          <w:szCs w:val="21"/>
        </w:rPr>
      </w:pPr>
      <w:r>
        <w:rPr>
          <w:rFonts w:hint="eastAsia" w:ascii="宋体" w:hAnsi="宋体" w:cs="宋体"/>
          <w:b/>
          <w:szCs w:val="21"/>
        </w:rPr>
        <w:t>六、响应文件提交截止时间及地点</w:t>
      </w:r>
    </w:p>
    <w:p w14:paraId="320DFB4D">
      <w:pPr>
        <w:spacing w:line="440" w:lineRule="exact"/>
        <w:ind w:firstLine="420" w:firstLineChars="200"/>
        <w:rPr>
          <w:rFonts w:ascii="宋体" w:hAnsi="宋体" w:cs="宋体"/>
          <w:szCs w:val="21"/>
        </w:rPr>
      </w:pPr>
      <w:r>
        <w:rPr>
          <w:rFonts w:hint="eastAsia" w:ascii="宋体" w:hAnsi="宋体" w:cs="宋体"/>
          <w:szCs w:val="21"/>
        </w:rPr>
        <w:t>竞标单位应在规定的截止日期和时间之前将响应文件提交至询价公告中注明的地址，凡逾期送达的响应文件将视为无效相应文件处理。代理机构拒绝接收在其规定的竞标截止时间后递交的任何相应文件。</w:t>
      </w:r>
    </w:p>
    <w:p w14:paraId="73DDA03F">
      <w:pPr>
        <w:spacing w:line="440" w:lineRule="exact"/>
        <w:ind w:firstLine="430" w:firstLineChars="200"/>
        <w:rPr>
          <w:rFonts w:ascii="宋体" w:hAnsi="宋体" w:cs="宋体"/>
          <w:color w:val="FF0000"/>
        </w:rPr>
      </w:pPr>
      <w:r>
        <w:rPr>
          <w:rFonts w:hint="eastAsia" w:ascii="宋体" w:hAnsi="宋体" w:cs="宋体"/>
          <w:b/>
          <w:color w:val="FF0000"/>
          <w:spacing w:val="2"/>
          <w:szCs w:val="21"/>
        </w:rPr>
        <w:t>竞标人在提交响应文件时须提供有效的法定代表人或代理人身份证原件，未提供的，代理机构不接受其竞标文件，不予参加开标和评审。</w:t>
      </w:r>
    </w:p>
    <w:p w14:paraId="3709A8E8">
      <w:pPr>
        <w:spacing w:line="440" w:lineRule="exact"/>
        <w:rPr>
          <w:rFonts w:ascii="宋体" w:hAnsi="宋体" w:cs="宋体"/>
          <w:b/>
          <w:kern w:val="0"/>
          <w:szCs w:val="21"/>
        </w:rPr>
      </w:pPr>
      <w:r>
        <w:rPr>
          <w:rFonts w:hint="eastAsia" w:ascii="宋体" w:hAnsi="宋体" w:cs="宋体"/>
          <w:b/>
          <w:szCs w:val="21"/>
        </w:rPr>
        <w:t>七、废标、流标条款</w:t>
      </w:r>
    </w:p>
    <w:p w14:paraId="1905062C">
      <w:pPr>
        <w:spacing w:line="440" w:lineRule="exact"/>
        <w:ind w:firstLine="420" w:firstLineChars="200"/>
        <w:rPr>
          <w:rFonts w:ascii="宋体" w:hAnsi="宋体" w:cs="宋体"/>
          <w:szCs w:val="21"/>
        </w:rPr>
      </w:pPr>
      <w:r>
        <w:rPr>
          <w:rFonts w:hint="eastAsia" w:ascii="宋体" w:hAnsi="宋体" w:cs="宋体"/>
          <w:szCs w:val="21"/>
        </w:rPr>
        <w:t>1.符合专业条件的竞标单位或者对询价文件作实质性响应的竞标单位</w:t>
      </w:r>
      <w:r>
        <w:rPr>
          <w:rFonts w:hint="eastAsia" w:ascii="宋体" w:hAnsi="宋体" w:cs="宋体"/>
          <w:b/>
          <w:bCs/>
          <w:szCs w:val="21"/>
        </w:rPr>
        <w:t>不足三家的；</w:t>
      </w:r>
    </w:p>
    <w:p w14:paraId="26F7B5CD">
      <w:pPr>
        <w:spacing w:line="440" w:lineRule="exact"/>
        <w:ind w:firstLine="420" w:firstLineChars="200"/>
        <w:rPr>
          <w:rFonts w:ascii="宋体" w:hAnsi="宋体" w:cs="宋体"/>
          <w:szCs w:val="21"/>
        </w:rPr>
      </w:pPr>
      <w:r>
        <w:rPr>
          <w:rFonts w:hint="eastAsia" w:ascii="宋体" w:hAnsi="宋体" w:cs="宋体"/>
          <w:szCs w:val="21"/>
        </w:rPr>
        <w:t>2.出现影响招标公正的违法、违规行为的；</w:t>
      </w:r>
    </w:p>
    <w:p w14:paraId="5BB7C542">
      <w:pPr>
        <w:spacing w:line="440" w:lineRule="exact"/>
        <w:ind w:firstLine="420" w:firstLineChars="200"/>
        <w:rPr>
          <w:rFonts w:ascii="宋体" w:hAnsi="宋体" w:cs="宋体"/>
          <w:szCs w:val="21"/>
        </w:rPr>
      </w:pPr>
      <w:r>
        <w:rPr>
          <w:rFonts w:hint="eastAsia" w:ascii="宋体" w:hAnsi="宋体" w:cs="宋体"/>
          <w:szCs w:val="21"/>
        </w:rPr>
        <w:t>3.评标委员会认定询价文件存在歧义、重大缺陷导致评审工作无法进行；</w:t>
      </w:r>
    </w:p>
    <w:p w14:paraId="4C89FAF2">
      <w:pPr>
        <w:spacing w:line="440" w:lineRule="exact"/>
        <w:ind w:firstLine="420" w:firstLineChars="200"/>
        <w:rPr>
          <w:rFonts w:ascii="宋体" w:hAnsi="宋体" w:cs="宋体"/>
          <w:szCs w:val="21"/>
        </w:rPr>
      </w:pPr>
      <w:r>
        <w:rPr>
          <w:rFonts w:hint="eastAsia" w:ascii="宋体" w:hAnsi="宋体" w:cs="宋体"/>
          <w:szCs w:val="21"/>
        </w:rPr>
        <w:t>4.因重大变故，招标任务取消的。</w:t>
      </w:r>
    </w:p>
    <w:p w14:paraId="2AA0D0B0">
      <w:pPr>
        <w:widowControl/>
        <w:snapToGrid w:val="0"/>
        <w:spacing w:line="460" w:lineRule="exact"/>
        <w:ind w:right="-153"/>
        <w:jc w:val="left"/>
        <w:rPr>
          <w:rFonts w:ascii="宋体" w:hAnsi="宋体" w:cs="宋体"/>
          <w:b/>
          <w:bCs/>
          <w:kern w:val="0"/>
          <w:szCs w:val="21"/>
        </w:rPr>
      </w:pPr>
      <w:r>
        <w:rPr>
          <w:rFonts w:hint="eastAsia" w:ascii="宋体" w:hAnsi="宋体" w:cs="宋体"/>
          <w:b/>
          <w:bCs/>
          <w:szCs w:val="21"/>
        </w:rPr>
        <w:t>八、综合说明</w:t>
      </w:r>
    </w:p>
    <w:p w14:paraId="6964078B">
      <w:pPr>
        <w:spacing w:line="440" w:lineRule="exact"/>
        <w:ind w:firstLine="420" w:firstLineChars="200"/>
        <w:rPr>
          <w:rFonts w:hint="eastAsia" w:ascii="宋体" w:hAnsi="宋体" w:cs="宋体"/>
          <w:szCs w:val="21"/>
          <w:highlight w:val="none"/>
        </w:rPr>
      </w:pPr>
      <w:r>
        <w:rPr>
          <w:rFonts w:hint="eastAsia" w:ascii="宋体" w:hAnsi="宋体" w:cs="宋体"/>
          <w:kern w:val="0"/>
          <w:szCs w:val="21"/>
        </w:rPr>
        <w:t>1.本项目为</w:t>
      </w:r>
      <w:r>
        <w:rPr>
          <w:rFonts w:hint="eastAsia" w:ascii="宋体" w:hAnsi="宋体" w:cs="宋体"/>
          <w:b/>
          <w:bCs/>
          <w:kern w:val="0"/>
          <w:szCs w:val="21"/>
          <w:highlight w:val="none"/>
          <w:lang w:bidi="ar"/>
        </w:rPr>
        <w:t>固定全费用单价</w:t>
      </w:r>
      <w:r>
        <w:rPr>
          <w:rFonts w:hint="eastAsia" w:ascii="宋体" w:hAnsi="宋体" w:cs="宋体"/>
          <w:szCs w:val="21"/>
          <w:highlight w:val="none"/>
        </w:rPr>
        <w:t>，竞标总价</w:t>
      </w:r>
      <w:r>
        <w:rPr>
          <w:rFonts w:hint="eastAsia" w:ascii="宋体" w:hAnsi="宋体" w:cs="宋体"/>
          <w:b/>
          <w:bCs/>
          <w:szCs w:val="21"/>
          <w:highlight w:val="none"/>
        </w:rPr>
        <w:t>应包括</w:t>
      </w:r>
      <w:r>
        <w:rPr>
          <w:rFonts w:hint="eastAsia" w:ascii="宋体" w:hAnsi="宋体" w:cs="宋体"/>
          <w:b/>
          <w:bCs/>
          <w:szCs w:val="21"/>
          <w:highlight w:val="none"/>
          <w:lang w:val="en-US" w:eastAsia="zh-CN"/>
        </w:rPr>
        <w:t>询价</w:t>
      </w:r>
      <w:r>
        <w:rPr>
          <w:rFonts w:hint="eastAsia" w:ascii="宋体" w:hAnsi="宋体" w:cs="宋体"/>
          <w:b/>
          <w:bCs/>
          <w:szCs w:val="21"/>
          <w:highlight w:val="none"/>
        </w:rPr>
        <w:t>文件所确定的招标范围相应货物和服务的供货、包装、运输、保险、辅助设备、安装调试、管理、维护（包括质保期内的一切维修、保养、更换零部件、人工等伴随服务）、售后服务、劳务、培训、验收、设备、工具、耗材、运送工具及耗材、利润、风险、税金及政策性文件规定等各项应有费用，以及为完成该项货物或者服务项目所</w:t>
      </w:r>
      <w:r>
        <w:rPr>
          <w:rFonts w:hint="eastAsia" w:ascii="宋体" w:hAnsi="宋体" w:cs="宋体"/>
          <w:b/>
          <w:bCs/>
          <w:szCs w:val="21"/>
          <w:highlight w:val="none"/>
          <w:lang w:eastAsia="zh-CN"/>
        </w:rPr>
        <w:t>涉及</w:t>
      </w:r>
      <w:r>
        <w:rPr>
          <w:rFonts w:hint="eastAsia" w:ascii="宋体" w:hAnsi="宋体" w:cs="宋体"/>
          <w:b/>
          <w:bCs/>
          <w:szCs w:val="21"/>
          <w:highlight w:val="none"/>
        </w:rPr>
        <w:t>的一切相关费用</w:t>
      </w:r>
      <w:r>
        <w:rPr>
          <w:rFonts w:hint="eastAsia" w:ascii="宋体" w:hAnsi="宋体" w:cs="宋体"/>
          <w:szCs w:val="21"/>
          <w:highlight w:val="none"/>
        </w:rPr>
        <w:t>，采购人不再支付其他任何费用。</w:t>
      </w:r>
      <w:r>
        <w:rPr>
          <w:rFonts w:hint="eastAsia" w:ascii="宋体" w:hAnsi="宋体" w:cs="宋体"/>
          <w:color w:val="000000"/>
          <w:szCs w:val="21"/>
          <w:highlight w:val="none"/>
        </w:rPr>
        <w:t>同时，除非合同条款中另有规定，否则，竞标单位所报价格在合同投标、实施期间不因市场变化因素而变动。</w:t>
      </w:r>
    </w:p>
    <w:p w14:paraId="7D673917">
      <w:pPr>
        <w:widowControl/>
        <w:snapToGrid w:val="0"/>
        <w:spacing w:line="460" w:lineRule="exact"/>
        <w:ind w:right="-154" w:firstLine="525" w:firstLineChars="250"/>
        <w:jc w:val="left"/>
        <w:rPr>
          <w:rFonts w:ascii="宋体" w:hAnsi="宋体" w:cs="宋体"/>
          <w:kern w:val="0"/>
          <w:szCs w:val="21"/>
        </w:rPr>
      </w:pPr>
      <w:r>
        <w:rPr>
          <w:rFonts w:hint="eastAsia" w:ascii="宋体" w:hAnsi="宋体" w:cs="宋体"/>
          <w:kern w:val="0"/>
          <w:szCs w:val="21"/>
        </w:rPr>
        <w:t>2.请贵单位按上述要求编制询价响应文件盖章密封，并于</w:t>
      </w:r>
      <w:r>
        <w:rPr>
          <w:rFonts w:hint="eastAsia" w:ascii="宋体" w:hAnsi="宋体" w:cs="宋体"/>
          <w:b/>
          <w:bCs/>
        </w:rPr>
        <w:t>202</w:t>
      </w:r>
      <w:r>
        <w:rPr>
          <w:rFonts w:hint="eastAsia" w:ascii="宋体" w:hAnsi="宋体" w:cs="宋体"/>
          <w:b/>
          <w:bCs/>
          <w:lang w:val="en-US" w:eastAsia="zh-CN"/>
        </w:rPr>
        <w:t>6</w:t>
      </w:r>
      <w:r>
        <w:rPr>
          <w:rFonts w:hint="eastAsia" w:ascii="宋体" w:hAnsi="宋体" w:cs="宋体"/>
          <w:b/>
          <w:bCs/>
        </w:rPr>
        <w:t>年</w:t>
      </w:r>
      <w:r>
        <w:rPr>
          <w:rFonts w:hint="eastAsia" w:ascii="宋体" w:hAnsi="宋体" w:cs="宋体"/>
          <w:b/>
          <w:bCs/>
          <w:lang w:val="en-US" w:eastAsia="zh-CN"/>
        </w:rPr>
        <w:t>01</w:t>
      </w:r>
      <w:r>
        <w:rPr>
          <w:rFonts w:hint="eastAsia" w:ascii="宋体" w:hAnsi="宋体" w:cs="宋体"/>
          <w:b/>
          <w:bCs/>
        </w:rPr>
        <w:t>月</w:t>
      </w:r>
      <w:r>
        <w:rPr>
          <w:rFonts w:hint="eastAsia" w:ascii="宋体" w:hAnsi="宋体" w:cs="宋体"/>
          <w:b/>
          <w:bCs/>
          <w:lang w:val="en-US" w:eastAsia="zh-CN"/>
        </w:rPr>
        <w:t>19</w:t>
      </w:r>
      <w:r>
        <w:rPr>
          <w:rFonts w:hint="eastAsia" w:ascii="宋体" w:hAnsi="宋体" w:cs="宋体"/>
          <w:b/>
          <w:bCs/>
        </w:rPr>
        <w:t>日1</w:t>
      </w:r>
      <w:r>
        <w:rPr>
          <w:rFonts w:hint="eastAsia" w:ascii="宋体" w:hAnsi="宋体" w:cs="宋体"/>
          <w:b/>
          <w:bCs/>
          <w:lang w:val="en-US" w:eastAsia="zh-CN"/>
        </w:rPr>
        <w:t>4</w:t>
      </w:r>
      <w:r>
        <w:rPr>
          <w:rFonts w:hint="eastAsia" w:ascii="宋体" w:hAnsi="宋体" w:cs="宋体"/>
          <w:b/>
          <w:bCs/>
        </w:rPr>
        <w:t>：</w:t>
      </w:r>
      <w:r>
        <w:rPr>
          <w:rFonts w:hint="eastAsia" w:ascii="宋体" w:hAnsi="宋体" w:cs="宋体"/>
          <w:b/>
          <w:bCs/>
          <w:lang w:val="en-US" w:eastAsia="zh-CN"/>
        </w:rPr>
        <w:t>3</w:t>
      </w:r>
      <w:r>
        <w:rPr>
          <w:rFonts w:hint="eastAsia" w:ascii="宋体" w:hAnsi="宋体" w:cs="宋体"/>
          <w:b/>
          <w:bCs/>
        </w:rPr>
        <w:t>0</w:t>
      </w:r>
      <w:r>
        <w:rPr>
          <w:rFonts w:hint="eastAsia" w:ascii="宋体" w:hAnsi="宋体" w:cs="宋体"/>
          <w:b/>
          <w:bCs/>
          <w:kern w:val="0"/>
          <w:szCs w:val="21"/>
        </w:rPr>
        <w:t>前</w:t>
      </w:r>
      <w:r>
        <w:rPr>
          <w:rFonts w:hint="eastAsia" w:ascii="宋体" w:hAnsi="宋体" w:cs="宋体"/>
          <w:kern w:val="0"/>
          <w:szCs w:val="21"/>
        </w:rPr>
        <w:t>送交至江苏恒卓工程管理咨询有限公司。不按询价文件组成要求制作报价文件并签署的或过时递交文件的，均为无效文件。本项目将于</w:t>
      </w:r>
      <w:r>
        <w:rPr>
          <w:rFonts w:hint="eastAsia" w:ascii="宋体" w:hAnsi="宋体" w:cs="宋体"/>
          <w:b/>
          <w:bCs/>
        </w:rPr>
        <w:t>202</w:t>
      </w:r>
      <w:r>
        <w:rPr>
          <w:rFonts w:hint="eastAsia" w:ascii="宋体" w:hAnsi="宋体" w:cs="宋体"/>
          <w:b/>
          <w:bCs/>
          <w:lang w:val="en-US" w:eastAsia="zh-CN"/>
        </w:rPr>
        <w:t>6</w:t>
      </w:r>
      <w:r>
        <w:rPr>
          <w:rFonts w:hint="eastAsia" w:ascii="宋体" w:hAnsi="宋体" w:cs="宋体"/>
          <w:b/>
          <w:bCs/>
        </w:rPr>
        <w:t>年</w:t>
      </w:r>
      <w:r>
        <w:rPr>
          <w:rFonts w:hint="eastAsia" w:ascii="宋体" w:hAnsi="宋体" w:cs="宋体"/>
          <w:b/>
          <w:bCs/>
          <w:lang w:val="en-US" w:eastAsia="zh-CN"/>
        </w:rPr>
        <w:t>01</w:t>
      </w:r>
      <w:r>
        <w:rPr>
          <w:rFonts w:hint="eastAsia" w:ascii="宋体" w:hAnsi="宋体" w:cs="宋体"/>
          <w:b/>
          <w:bCs/>
        </w:rPr>
        <w:t>月</w:t>
      </w:r>
      <w:r>
        <w:rPr>
          <w:rFonts w:hint="eastAsia" w:ascii="宋体" w:hAnsi="宋体" w:cs="宋体"/>
          <w:b/>
          <w:bCs/>
          <w:lang w:val="en-US" w:eastAsia="zh-CN"/>
        </w:rPr>
        <w:t>19</w:t>
      </w:r>
      <w:r>
        <w:rPr>
          <w:rFonts w:hint="eastAsia" w:ascii="宋体" w:hAnsi="宋体" w:cs="宋体"/>
          <w:b/>
          <w:bCs/>
        </w:rPr>
        <w:t>日14：</w:t>
      </w:r>
      <w:r>
        <w:rPr>
          <w:rFonts w:hint="eastAsia" w:ascii="宋体" w:hAnsi="宋体" w:cs="宋体"/>
          <w:b/>
          <w:bCs/>
          <w:lang w:val="en-US" w:eastAsia="zh-CN"/>
        </w:rPr>
        <w:t>3</w:t>
      </w:r>
      <w:r>
        <w:rPr>
          <w:rFonts w:hint="eastAsia" w:ascii="宋体" w:hAnsi="宋体" w:cs="宋体"/>
          <w:b/>
          <w:bCs/>
        </w:rPr>
        <w:t>0</w:t>
      </w:r>
      <w:r>
        <w:rPr>
          <w:rFonts w:hint="eastAsia" w:ascii="宋体" w:hAnsi="宋体" w:cs="宋体"/>
          <w:b/>
          <w:bCs/>
          <w:lang w:val="en-US" w:eastAsia="zh-CN"/>
        </w:rPr>
        <w:t>前</w:t>
      </w:r>
      <w:r>
        <w:rPr>
          <w:rFonts w:hint="eastAsia" w:ascii="宋体" w:hAnsi="宋体" w:cs="宋体"/>
          <w:kern w:val="0"/>
          <w:szCs w:val="21"/>
        </w:rPr>
        <w:t>在江苏恒卓工程管理咨询有限公司开始评标。</w:t>
      </w:r>
    </w:p>
    <w:p w14:paraId="277D899B">
      <w:pPr>
        <w:widowControl/>
        <w:snapToGrid w:val="0"/>
        <w:spacing w:line="460" w:lineRule="exact"/>
        <w:ind w:right="-154" w:firstLine="525" w:firstLineChars="250"/>
        <w:jc w:val="left"/>
        <w:rPr>
          <w:rFonts w:ascii="宋体" w:hAnsi="宋体" w:cs="宋体"/>
          <w:kern w:val="0"/>
          <w:szCs w:val="21"/>
        </w:rPr>
      </w:pPr>
      <w:r>
        <w:rPr>
          <w:rFonts w:hint="eastAsia" w:ascii="宋体" w:hAnsi="宋体" w:cs="宋体"/>
          <w:kern w:val="0"/>
          <w:szCs w:val="21"/>
        </w:rPr>
        <w:t>3.成交原则：在符合采购需求、质量和服务相等且报价未超过采购预算的前提下，以提出最低报价的响应单位为成交供应商。若最低报价相同，则</w:t>
      </w:r>
      <w:r>
        <w:rPr>
          <w:rFonts w:hint="eastAsia" w:ascii="宋体" w:hAnsi="宋体" w:cs="宋体"/>
          <w:szCs w:val="21"/>
        </w:rPr>
        <w:t>依次</w:t>
      </w:r>
      <w:r>
        <w:rPr>
          <w:rStyle w:val="51"/>
          <w:rFonts w:hint="eastAsia" w:hAnsi="宋体" w:cs="宋体"/>
          <w:szCs w:val="21"/>
        </w:rPr>
        <w:t>按技术指标高优先、质量保证</w:t>
      </w:r>
      <w:r>
        <w:rPr>
          <w:rFonts w:hint="eastAsia" w:ascii="宋体" w:hAnsi="宋体" w:cs="宋体"/>
          <w:szCs w:val="21"/>
        </w:rPr>
        <w:t>期长优先、交货期短优先、故障响应时间短优先的顺序排列</w:t>
      </w:r>
      <w:r>
        <w:rPr>
          <w:rFonts w:hint="eastAsia" w:ascii="宋体" w:hAnsi="宋体" w:cs="宋体"/>
          <w:kern w:val="0"/>
          <w:szCs w:val="21"/>
        </w:rPr>
        <w:t xml:space="preserve">选择成交供应商。                                                         </w:t>
      </w:r>
    </w:p>
    <w:p w14:paraId="11E58BA8">
      <w:pPr>
        <w:widowControl/>
        <w:snapToGrid w:val="0"/>
        <w:spacing w:line="460" w:lineRule="exact"/>
        <w:ind w:right="-154" w:firstLine="527" w:firstLineChars="250"/>
        <w:jc w:val="left"/>
        <w:rPr>
          <w:rFonts w:hint="eastAsia" w:ascii="宋体" w:hAnsi="宋体" w:cs="宋体"/>
          <w:b/>
          <w:bCs/>
          <w:kern w:val="0"/>
          <w:szCs w:val="21"/>
          <w:highlight w:val="none"/>
        </w:rPr>
      </w:pPr>
      <w:r>
        <w:rPr>
          <w:rFonts w:hint="eastAsia" w:ascii="宋体" w:hAnsi="宋体" w:cs="宋体"/>
          <w:b/>
          <w:bCs/>
          <w:kern w:val="0"/>
          <w:szCs w:val="21"/>
          <w:highlight w:val="none"/>
        </w:rPr>
        <w:t>4.投标保证金</w:t>
      </w:r>
    </w:p>
    <w:p w14:paraId="58880DCE">
      <w:pPr>
        <w:pStyle w:val="67"/>
        <w:spacing w:line="440" w:lineRule="exact"/>
        <w:ind w:firstLine="420" w:firstLineChars="200"/>
        <w:rPr>
          <w:rFonts w:hint="eastAsia" w:ascii="宋体" w:hAnsi="宋体" w:eastAsia="宋体" w:cs="宋体"/>
          <w:szCs w:val="21"/>
        </w:rPr>
      </w:pPr>
      <w:r>
        <w:rPr>
          <w:rFonts w:hint="eastAsia" w:ascii="宋体" w:hAnsi="宋体" w:cs="宋体"/>
          <w:szCs w:val="21"/>
          <w:lang w:eastAsia="zh-CN"/>
        </w:rPr>
        <w:t>4</w:t>
      </w:r>
      <w:r>
        <w:rPr>
          <w:rFonts w:hint="eastAsia" w:ascii="宋体" w:hAnsi="宋体" w:eastAsia="宋体" w:cs="宋体"/>
          <w:szCs w:val="21"/>
        </w:rPr>
        <w:t>.1投标保证金是投标文件的一个组成部分，投标人须按规定从公司账户缴纳。在开标时，未按要求缴纳保证金的投标无效，无效投标不予参加评审。</w:t>
      </w:r>
    </w:p>
    <w:p w14:paraId="15CB743D">
      <w:pPr>
        <w:pStyle w:val="67"/>
        <w:spacing w:line="440" w:lineRule="exact"/>
        <w:ind w:firstLine="420" w:firstLineChars="200"/>
        <w:rPr>
          <w:rFonts w:hint="eastAsia" w:ascii="宋体" w:hAnsi="宋体" w:eastAsia="宋体" w:cs="宋体"/>
          <w:szCs w:val="21"/>
        </w:rPr>
      </w:pPr>
      <w:r>
        <w:rPr>
          <w:rFonts w:hint="eastAsia" w:ascii="宋体" w:hAnsi="宋体" w:cs="宋体"/>
          <w:szCs w:val="21"/>
          <w:lang w:eastAsia="zh-CN"/>
        </w:rPr>
        <w:t>4</w:t>
      </w:r>
      <w:r>
        <w:rPr>
          <w:rFonts w:hint="eastAsia" w:ascii="宋体" w:hAnsi="宋体" w:eastAsia="宋体" w:cs="宋体"/>
          <w:szCs w:val="21"/>
        </w:rPr>
        <w:t>.2未中标的供应商保证金将在公示有效期</w:t>
      </w:r>
      <w:r>
        <w:rPr>
          <w:rFonts w:hint="eastAsia" w:ascii="宋体" w:hAnsi="宋体" w:eastAsia="宋体" w:cs="宋体"/>
          <w:szCs w:val="21"/>
          <w:lang w:val="en-US" w:eastAsia="zh-CN"/>
        </w:rPr>
        <w:t>结束</w:t>
      </w:r>
      <w:r>
        <w:rPr>
          <w:rFonts w:hint="eastAsia" w:ascii="宋体" w:hAnsi="宋体" w:eastAsia="宋体" w:cs="宋体"/>
          <w:szCs w:val="21"/>
        </w:rPr>
        <w:t>后五个工作日内无息退回。未中标单位须自行将保证金收据背书单位名称、开户行及账号、联系人及电话后至综合办办理退款事宜。</w:t>
      </w:r>
    </w:p>
    <w:p w14:paraId="7DE4A7AD">
      <w:pPr>
        <w:pStyle w:val="67"/>
        <w:spacing w:line="440" w:lineRule="exact"/>
        <w:ind w:firstLine="420" w:firstLineChars="200"/>
        <w:rPr>
          <w:rFonts w:hint="eastAsia" w:ascii="宋体" w:hAnsi="宋体" w:eastAsia="宋体" w:cs="宋体"/>
          <w:szCs w:val="21"/>
        </w:rPr>
      </w:pPr>
      <w:r>
        <w:rPr>
          <w:rFonts w:hint="eastAsia" w:ascii="宋体" w:hAnsi="宋体" w:cs="宋体"/>
          <w:szCs w:val="21"/>
          <w:lang w:eastAsia="zh-CN"/>
        </w:rPr>
        <w:t>4</w:t>
      </w:r>
      <w:r>
        <w:rPr>
          <w:rFonts w:hint="eastAsia" w:ascii="宋体" w:hAnsi="宋体" w:eastAsia="宋体" w:cs="宋体"/>
          <w:szCs w:val="21"/>
        </w:rPr>
        <w:t>.3中标人的投标保证金将在其合同签约完毕（合同须由代理机构备案）后五个工作日内无息退还。</w:t>
      </w:r>
    </w:p>
    <w:p w14:paraId="0DC51915">
      <w:pPr>
        <w:pStyle w:val="67"/>
        <w:spacing w:line="440" w:lineRule="exact"/>
        <w:ind w:firstLine="420" w:firstLineChars="200"/>
        <w:rPr>
          <w:rFonts w:hint="eastAsia" w:ascii="宋体" w:hAnsi="宋体" w:eastAsia="宋体" w:cs="宋体"/>
          <w:b/>
          <w:bCs/>
          <w:szCs w:val="21"/>
        </w:rPr>
      </w:pPr>
      <w:r>
        <w:rPr>
          <w:rFonts w:hint="eastAsia" w:ascii="宋体" w:hAnsi="宋体" w:cs="宋体"/>
          <w:szCs w:val="21"/>
          <w:lang w:eastAsia="zh-CN"/>
        </w:rPr>
        <w:t>4</w:t>
      </w:r>
      <w:r>
        <w:rPr>
          <w:rFonts w:hint="eastAsia" w:ascii="宋体" w:hAnsi="宋体" w:eastAsia="宋体" w:cs="宋体"/>
          <w:szCs w:val="21"/>
        </w:rPr>
        <w:t>.4投标人出现下列情况之一的，取消其中标资格，</w:t>
      </w:r>
      <w:r>
        <w:rPr>
          <w:rFonts w:hint="eastAsia" w:ascii="宋体" w:hAnsi="宋体" w:eastAsia="宋体" w:cs="宋体"/>
          <w:b/>
          <w:bCs/>
          <w:szCs w:val="21"/>
        </w:rPr>
        <w:t>并没收其投标保证金：</w:t>
      </w:r>
    </w:p>
    <w:p w14:paraId="22676906">
      <w:pPr>
        <w:pStyle w:val="67"/>
        <w:spacing w:line="440" w:lineRule="exact"/>
        <w:ind w:firstLine="420" w:firstLineChars="200"/>
        <w:rPr>
          <w:rFonts w:hint="eastAsia" w:ascii="宋体" w:hAnsi="宋体" w:eastAsia="宋体" w:cs="宋体"/>
          <w:szCs w:val="21"/>
        </w:rPr>
      </w:pPr>
      <w:r>
        <w:rPr>
          <w:rFonts w:hint="eastAsia" w:ascii="宋体" w:hAnsi="宋体" w:cs="宋体"/>
          <w:szCs w:val="21"/>
          <w:lang w:eastAsia="zh-CN"/>
        </w:rPr>
        <w:t>4</w:t>
      </w:r>
      <w:r>
        <w:rPr>
          <w:rFonts w:hint="eastAsia" w:ascii="宋体" w:hAnsi="宋体" w:eastAsia="宋体" w:cs="宋体"/>
          <w:szCs w:val="21"/>
        </w:rPr>
        <w:t>.4.1投标人在投标有效期内撤回其投标文件；</w:t>
      </w:r>
    </w:p>
    <w:p w14:paraId="00C08F6B">
      <w:pPr>
        <w:pStyle w:val="67"/>
        <w:spacing w:line="440" w:lineRule="exact"/>
        <w:ind w:firstLine="420" w:firstLineChars="200"/>
        <w:rPr>
          <w:rFonts w:hint="eastAsia" w:ascii="宋体" w:hAnsi="宋体" w:eastAsia="宋体" w:cs="宋体"/>
          <w:szCs w:val="21"/>
        </w:rPr>
      </w:pPr>
      <w:r>
        <w:rPr>
          <w:rFonts w:hint="eastAsia" w:ascii="宋体" w:hAnsi="宋体" w:cs="宋体"/>
          <w:szCs w:val="21"/>
          <w:lang w:eastAsia="zh-CN"/>
        </w:rPr>
        <w:t>4</w:t>
      </w:r>
      <w:r>
        <w:rPr>
          <w:rFonts w:hint="eastAsia" w:ascii="宋体" w:hAnsi="宋体" w:eastAsia="宋体" w:cs="宋体"/>
          <w:szCs w:val="21"/>
        </w:rPr>
        <w:t>.4.2中标人未能在招标文件规定的期限提交履约担保；</w:t>
      </w:r>
    </w:p>
    <w:p w14:paraId="08463558">
      <w:pPr>
        <w:pStyle w:val="67"/>
        <w:spacing w:line="440" w:lineRule="exact"/>
        <w:ind w:firstLine="420" w:firstLineChars="200"/>
        <w:rPr>
          <w:rFonts w:hint="eastAsia" w:ascii="宋体" w:hAnsi="宋体" w:eastAsia="宋体" w:cs="宋体"/>
          <w:szCs w:val="21"/>
        </w:rPr>
      </w:pPr>
      <w:r>
        <w:rPr>
          <w:rFonts w:hint="eastAsia" w:ascii="宋体" w:hAnsi="宋体" w:cs="宋体"/>
          <w:szCs w:val="21"/>
          <w:lang w:eastAsia="zh-CN"/>
        </w:rPr>
        <w:t>4</w:t>
      </w:r>
      <w:r>
        <w:rPr>
          <w:rFonts w:hint="eastAsia" w:ascii="宋体" w:hAnsi="宋体" w:eastAsia="宋体" w:cs="宋体"/>
          <w:szCs w:val="21"/>
        </w:rPr>
        <w:t>.4.3中标人无正当理由拒绝签订合同或者由于投标人的原因导致中标无效的；</w:t>
      </w:r>
    </w:p>
    <w:p w14:paraId="4482AF53">
      <w:pPr>
        <w:pStyle w:val="67"/>
        <w:spacing w:line="440" w:lineRule="exact"/>
        <w:ind w:firstLine="420" w:firstLineChars="200"/>
        <w:rPr>
          <w:rFonts w:hint="eastAsia" w:ascii="宋体" w:hAnsi="宋体" w:eastAsia="宋体" w:cs="宋体"/>
          <w:szCs w:val="21"/>
        </w:rPr>
      </w:pPr>
      <w:r>
        <w:rPr>
          <w:rFonts w:hint="eastAsia" w:ascii="宋体" w:hAnsi="宋体" w:cs="宋体"/>
          <w:szCs w:val="21"/>
          <w:lang w:eastAsia="zh-CN"/>
        </w:rPr>
        <w:t>4</w:t>
      </w:r>
      <w:r>
        <w:rPr>
          <w:rFonts w:hint="eastAsia" w:ascii="宋体" w:hAnsi="宋体" w:eastAsia="宋体" w:cs="宋体"/>
          <w:szCs w:val="21"/>
        </w:rPr>
        <w:t>.4.4投标人提供的有关资料、资格证明文件被确认是不真实的或投标人之间被证实有串通（统一哄抬价格）、欺诈行为；</w:t>
      </w:r>
    </w:p>
    <w:p w14:paraId="77EC69C5">
      <w:pPr>
        <w:pStyle w:val="67"/>
        <w:spacing w:line="440" w:lineRule="exact"/>
        <w:ind w:firstLine="420" w:firstLineChars="200"/>
        <w:rPr>
          <w:rFonts w:hint="eastAsia" w:ascii="宋体" w:hAnsi="宋体" w:eastAsia="宋体" w:cs="宋体"/>
          <w:szCs w:val="21"/>
        </w:rPr>
      </w:pPr>
      <w:r>
        <w:rPr>
          <w:rFonts w:hint="eastAsia" w:ascii="宋体" w:hAnsi="宋体" w:cs="宋体"/>
          <w:szCs w:val="21"/>
          <w:lang w:eastAsia="zh-CN"/>
        </w:rPr>
        <w:t>4</w:t>
      </w:r>
      <w:r>
        <w:rPr>
          <w:rFonts w:hint="eastAsia" w:ascii="宋体" w:hAnsi="宋体" w:eastAsia="宋体" w:cs="宋体"/>
          <w:szCs w:val="21"/>
        </w:rPr>
        <w:t>.4.</w:t>
      </w:r>
      <w:r>
        <w:rPr>
          <w:rFonts w:hint="eastAsia" w:ascii="宋体" w:hAnsi="宋体" w:cs="宋体"/>
          <w:szCs w:val="21"/>
          <w:lang w:eastAsia="zh-CN"/>
        </w:rPr>
        <w:t>4</w:t>
      </w:r>
      <w:r>
        <w:rPr>
          <w:rFonts w:hint="eastAsia" w:ascii="宋体" w:hAnsi="宋体" w:eastAsia="宋体" w:cs="宋体"/>
          <w:szCs w:val="21"/>
        </w:rPr>
        <w:t>投标人被证明有妨碍其他人公平竞争、损害代理机构或者其他投标人合法权益的；</w:t>
      </w:r>
    </w:p>
    <w:p w14:paraId="049A7A52">
      <w:pPr>
        <w:pStyle w:val="67"/>
        <w:spacing w:line="440" w:lineRule="exact"/>
        <w:ind w:firstLine="420" w:firstLineChars="200"/>
        <w:rPr>
          <w:rFonts w:hint="eastAsia" w:ascii="宋体" w:hAnsi="宋体" w:eastAsia="宋体" w:cs="宋体"/>
          <w:szCs w:val="21"/>
        </w:rPr>
      </w:pPr>
      <w:r>
        <w:rPr>
          <w:rFonts w:hint="eastAsia" w:ascii="宋体" w:hAnsi="宋体" w:cs="宋体"/>
          <w:szCs w:val="21"/>
          <w:lang w:eastAsia="zh-CN"/>
        </w:rPr>
        <w:t>4</w:t>
      </w:r>
      <w:r>
        <w:rPr>
          <w:rFonts w:hint="eastAsia" w:ascii="宋体" w:hAnsi="宋体" w:eastAsia="宋体" w:cs="宋体"/>
          <w:szCs w:val="21"/>
        </w:rPr>
        <w:t>.4.</w:t>
      </w:r>
      <w:r>
        <w:rPr>
          <w:rFonts w:hint="eastAsia" w:ascii="宋体" w:hAnsi="宋体" w:eastAsia="宋体" w:cs="宋体"/>
          <w:szCs w:val="21"/>
          <w:lang w:val="en-US" w:eastAsia="zh-CN"/>
        </w:rPr>
        <w:t>6</w:t>
      </w:r>
      <w:r>
        <w:rPr>
          <w:rFonts w:hint="eastAsia" w:ascii="宋体" w:hAnsi="宋体" w:eastAsia="宋体" w:cs="宋体"/>
          <w:szCs w:val="21"/>
        </w:rPr>
        <w:t>法律法规认定的其他情形。</w:t>
      </w:r>
    </w:p>
    <w:p w14:paraId="3C028BC1">
      <w:pPr>
        <w:widowControl/>
        <w:snapToGrid w:val="0"/>
        <w:spacing w:line="460" w:lineRule="exact"/>
        <w:ind w:right="-154" w:firstLine="527" w:firstLineChars="250"/>
        <w:jc w:val="left"/>
        <w:rPr>
          <w:rFonts w:ascii="宋体" w:hAnsi="宋体" w:cs="宋体"/>
          <w:b/>
          <w:bCs/>
          <w:kern w:val="0"/>
          <w:szCs w:val="21"/>
          <w:highlight w:val="none"/>
        </w:rPr>
      </w:pPr>
      <w:r>
        <w:rPr>
          <w:rFonts w:hint="eastAsia" w:ascii="宋体" w:hAnsi="宋体" w:cs="宋体"/>
          <w:b/>
          <w:bCs/>
          <w:kern w:val="0"/>
          <w:szCs w:val="21"/>
          <w:highlight w:val="none"/>
        </w:rPr>
        <w:t>5.履约保证金金额</w:t>
      </w:r>
    </w:p>
    <w:p w14:paraId="34A9C90A">
      <w:pPr>
        <w:spacing w:line="440" w:lineRule="exact"/>
        <w:ind w:firstLine="420" w:firstLineChars="200"/>
        <w:rPr>
          <w:rFonts w:ascii="宋体" w:hAnsi="宋体" w:cs="宋体"/>
          <w:szCs w:val="21"/>
          <w:highlight w:val="none"/>
        </w:rPr>
      </w:pPr>
      <w:r>
        <w:rPr>
          <w:rFonts w:hint="eastAsia" w:ascii="宋体" w:hAnsi="宋体" w:cs="宋体"/>
          <w:szCs w:val="21"/>
          <w:highlight w:val="none"/>
        </w:rPr>
        <w:t>5.1中标单位应按规定提交履约保证金。</w:t>
      </w:r>
    </w:p>
    <w:p w14:paraId="33B7D6E8">
      <w:pPr>
        <w:spacing w:line="440" w:lineRule="exact"/>
        <w:ind w:firstLine="420" w:firstLineChars="200"/>
        <w:rPr>
          <w:rFonts w:ascii="宋体" w:hAnsi="宋体" w:cs="宋体"/>
          <w:szCs w:val="21"/>
          <w:highlight w:val="none"/>
        </w:rPr>
      </w:pPr>
      <w:r>
        <w:rPr>
          <w:rFonts w:hint="eastAsia" w:ascii="宋体" w:hAnsi="宋体" w:cs="宋体"/>
          <w:szCs w:val="21"/>
          <w:highlight w:val="none"/>
        </w:rPr>
        <w:t>5.2中标单位必须在合同签订前向采购人缴纳金额为中标合同价10%的履约保证金，也可自主选择以支票、汇票、本票、银行保函等非现金形式缴纳或提交。</w:t>
      </w:r>
    </w:p>
    <w:p w14:paraId="5E9BA962">
      <w:pPr>
        <w:spacing w:line="440" w:lineRule="exact"/>
        <w:ind w:firstLine="420" w:firstLineChars="200"/>
        <w:rPr>
          <w:rFonts w:ascii="宋体" w:hAnsi="宋体" w:cs="宋体"/>
          <w:szCs w:val="21"/>
          <w:highlight w:val="none"/>
        </w:rPr>
      </w:pPr>
      <w:r>
        <w:rPr>
          <w:rFonts w:hint="eastAsia" w:ascii="宋体" w:hAnsi="宋体" w:cs="宋体"/>
          <w:szCs w:val="21"/>
          <w:highlight w:val="none"/>
        </w:rPr>
        <w:t>5.3履约保证金在合同履行结束后30日内无息返还。</w:t>
      </w:r>
    </w:p>
    <w:p w14:paraId="0DA8F926">
      <w:pPr>
        <w:widowControl/>
        <w:snapToGrid w:val="0"/>
        <w:spacing w:line="460" w:lineRule="exact"/>
        <w:ind w:right="-154" w:firstLine="525" w:firstLineChars="250"/>
        <w:jc w:val="left"/>
        <w:rPr>
          <w:rFonts w:ascii="宋体" w:hAnsi="宋体" w:cs="宋体"/>
          <w:kern w:val="0"/>
          <w:szCs w:val="21"/>
          <w:highlight w:val="none"/>
        </w:rPr>
      </w:pPr>
      <w:r>
        <w:rPr>
          <w:rFonts w:hint="eastAsia" w:ascii="宋体" w:hAnsi="宋体" w:cs="宋体"/>
          <w:kern w:val="0"/>
          <w:szCs w:val="21"/>
          <w:highlight w:val="none"/>
        </w:rPr>
        <w:t xml:space="preserve">6.参加询价的供应商若认为询价函的资格要求和技术要求有倾向性或不公正性，可在 </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6</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01</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17</w:t>
      </w:r>
      <w:r>
        <w:rPr>
          <w:rFonts w:hint="eastAsia" w:ascii="宋体" w:hAnsi="宋体" w:cs="宋体"/>
          <w:b/>
          <w:bCs/>
          <w:kern w:val="0"/>
          <w:szCs w:val="21"/>
          <w:highlight w:val="none"/>
        </w:rPr>
        <w:t>日20：30之前以书面形式或邮件形式（994093050@qq.com）</w:t>
      </w:r>
      <w:r>
        <w:rPr>
          <w:rFonts w:hint="eastAsia" w:ascii="宋体" w:hAnsi="宋体" w:cs="宋体"/>
          <w:kern w:val="0"/>
          <w:szCs w:val="21"/>
          <w:highlight w:val="none"/>
        </w:rPr>
        <w:t>向我公司提出。对于没有提出澄清要求又参与了该项目的供应商将被视为完全认同该询价函，询价响应文件递交截止期后不再受理针对询价函的相关质疑和投诉。</w:t>
      </w:r>
    </w:p>
    <w:p w14:paraId="3F569203">
      <w:pPr>
        <w:spacing w:line="460" w:lineRule="exact"/>
        <w:ind w:firstLine="420" w:firstLineChars="200"/>
        <w:rPr>
          <w:rFonts w:ascii="宋体" w:hAnsi="宋体" w:cs="宋体"/>
          <w:kern w:val="0"/>
          <w:szCs w:val="21"/>
        </w:rPr>
      </w:pPr>
      <w:r>
        <w:rPr>
          <w:rFonts w:hint="eastAsia" w:ascii="宋体" w:hAnsi="宋体" w:cs="宋体"/>
          <w:kern w:val="0"/>
          <w:szCs w:val="21"/>
        </w:rPr>
        <w:t>7.成交单位需支付成交服务费，</w:t>
      </w:r>
      <w:r>
        <w:rPr>
          <w:rFonts w:hint="eastAsia" w:ascii="宋体" w:hAnsi="宋体" w:cs="宋体"/>
          <w:szCs w:val="21"/>
        </w:rPr>
        <w:t>按差额定率累进法计算，</w:t>
      </w:r>
      <w:r>
        <w:rPr>
          <w:rFonts w:hint="eastAsia" w:ascii="宋体" w:hAnsi="宋体" w:cs="宋体"/>
          <w:kern w:val="0"/>
          <w:szCs w:val="21"/>
        </w:rPr>
        <w:t>收费</w:t>
      </w:r>
      <w:r>
        <w:rPr>
          <w:rFonts w:hint="eastAsia" w:ascii="宋体" w:hAnsi="宋体" w:cs="宋体"/>
          <w:b/>
          <w:szCs w:val="21"/>
        </w:rPr>
        <w:t>按照下列标准下浮65.7%收取</w:t>
      </w:r>
      <w:r>
        <w:rPr>
          <w:rFonts w:hint="eastAsia" w:ascii="宋体" w:hAnsi="宋体" w:cs="宋体"/>
          <w:kern w:val="0"/>
          <w:szCs w:val="21"/>
        </w:rPr>
        <w:t>，成交单位应在成交通知书发出后五个工作日内（合同签订前）将中标服务费付至代理机构收取投标保证金的帐户。不足3000元的，按3000元计取。</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3"/>
        <w:gridCol w:w="2486"/>
      </w:tblGrid>
      <w:tr w14:paraId="3F81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jc w:val="center"/>
        </w:trPr>
        <w:tc>
          <w:tcPr>
            <w:tcW w:w="3073" w:type="dxa"/>
            <w:tcBorders>
              <w:top w:val="single" w:color="auto" w:sz="4" w:space="0"/>
              <w:left w:val="single" w:color="auto" w:sz="4" w:space="0"/>
              <w:bottom w:val="single" w:color="auto" w:sz="4" w:space="0"/>
              <w:right w:val="single" w:color="auto" w:sz="4" w:space="0"/>
            </w:tcBorders>
            <w:noWrap w:val="0"/>
            <w:vAlign w:val="top"/>
          </w:tcPr>
          <w:p w14:paraId="65B6D1B3">
            <w:pPr>
              <w:spacing w:line="440" w:lineRule="exact"/>
              <w:ind w:firstLine="945" w:firstLineChars="450"/>
              <w:rPr>
                <w:rFonts w:hint="eastAsia" w:ascii="宋体" w:hAnsi="宋体" w:cs="宋体"/>
                <w:b/>
                <w:szCs w:val="21"/>
              </w:rPr>
            </w:pPr>
            <w:r>
              <w:rPr>
                <w:rFonts w:hint="eastAsia" w:ascii="宋体" w:hAnsi="宋体" w:cs="宋体"/>
                <w:szCs w:val="21"/>
              </w:rPr>
              <mc:AlternateContent>
                <mc:Choice Requires="wps">
                  <w:drawing>
                    <wp:anchor distT="0" distB="0" distL="114300" distR="114300" simplePos="0" relativeHeight="251664384" behindDoc="0" locked="0" layoutInCell="1" allowOverlap="1">
                      <wp:simplePos x="0" y="0"/>
                      <wp:positionH relativeFrom="column">
                        <wp:posOffset>296545</wp:posOffset>
                      </wp:positionH>
                      <wp:positionV relativeFrom="paragraph">
                        <wp:posOffset>1905</wp:posOffset>
                      </wp:positionV>
                      <wp:extent cx="1162050" cy="1143635"/>
                      <wp:effectExtent l="3175" t="3175" r="8255" b="11430"/>
                      <wp:wrapNone/>
                      <wp:docPr id="2" name="直接连接符 2"/>
                      <wp:cNvGraphicFramePr/>
                      <a:graphic xmlns:a="http://schemas.openxmlformats.org/drawingml/2006/main">
                        <a:graphicData uri="http://schemas.microsoft.com/office/word/2010/wordprocessingShape">
                          <wps:wsp>
                            <wps:cNvCnPr/>
                            <wps:spPr>
                              <a:xfrm flipH="1" flipV="1">
                                <a:off x="0" y="0"/>
                                <a:ext cx="1162050" cy="1143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 y;margin-left:23.35pt;margin-top:0.15pt;height:90.05pt;width:91.5pt;z-index:251664384;mso-width-relative:page;mso-height-relative:page;" filled="f" stroked="t" coordsize="21600,21600" o:gfxdata="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tH6adIAAAAHAQAADwAAAAAAAAABACAAAAAiAAAAZHJz&#10;L2Rvd25yZXYueG1sUEsBAhQAFAAAAAgAh07iQGziQjkKAgAADAQAAA4AAAAAAAAAAQAgAAAAIQEA&#10;AGRycy9lMm9Eb2MueG1sUEsFBgAAAAAGAAYAWQEAAJ0FAAAAAA==&#10;">
                      <v:fill on="f" focussize="0,0"/>
                      <v:stroke color="#000000" joinstyle="round"/>
                      <v:imagedata o:title=""/>
                      <o:lock v:ext="edit" aspectratio="f"/>
                    </v:line>
                  </w:pict>
                </mc:Fallback>
              </mc:AlternateContent>
            </w:r>
            <w:r>
              <w:rPr>
                <w:rFonts w:hint="eastAsia" w:ascii="宋体" w:hAnsi="宋体" w:cs="宋体"/>
                <w:szCs w:val="21"/>
              </w:rPr>
              <mc:AlternateContent>
                <mc:Choice Requires="wps">
                  <w:drawing>
                    <wp:anchor distT="0" distB="0" distL="114300" distR="114300" simplePos="0" relativeHeight="251663360"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0.5pt;height:0pt;width:0.05pt;z-index:251663360;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5HTftUAAAAJAQAADwAAAAAAAAABACAAAAAiAAAAZHJzL2Rvd25yZXYueG1sUEsBAhQA&#10;FAAAAAgAh07iQE/qvDb1AQAA7gMAAA4AAAAAAAAAAQAgAAAAJAEAAGRycy9lMm9Eb2MueG1sUEsF&#10;BgAAAAAGAAYAWQEAAIsFAAAAAA==&#10;">
                      <v:fill on="f" focussize="0,0"/>
                      <v:stroke color="#000000" joinstyle="round"/>
                      <v:imagedata o:title=""/>
                      <o:lock v:ext="edit" aspectratio="f"/>
                    </v:line>
                  </w:pict>
                </mc:Fallback>
              </mc:AlternateContent>
            </w:r>
            <w:r>
              <w:rPr>
                <w:rFonts w:hint="eastAsia" w:ascii="宋体" w:hAnsi="宋体" w:cs="宋体"/>
                <w:b/>
                <w:szCs w:val="21"/>
              </w:rPr>
              <w:t>服</w:t>
            </w:r>
          </w:p>
          <w:p w14:paraId="01F413C3">
            <w:pPr>
              <w:spacing w:line="440" w:lineRule="exact"/>
              <w:ind w:firstLine="211"/>
              <w:rPr>
                <w:rFonts w:hint="eastAsia" w:ascii="宋体" w:hAnsi="宋体" w:cs="宋体"/>
                <w:b/>
                <w:szCs w:val="21"/>
              </w:rPr>
            </w:pPr>
            <w:r>
              <w:rPr>
                <w:rFonts w:hint="eastAsia" w:ascii="宋体" w:hAnsi="宋体" w:cs="宋体"/>
                <w:b/>
                <w:szCs w:val="21"/>
              </w:rPr>
              <w:t>费　　　　务</w:t>
            </w:r>
          </w:p>
          <w:p w14:paraId="412255F5">
            <w:pPr>
              <w:spacing w:line="440" w:lineRule="exact"/>
              <w:ind w:firstLine="1004"/>
              <w:rPr>
                <w:rFonts w:hint="eastAsia" w:ascii="宋体" w:hAnsi="宋体" w:cs="宋体"/>
                <w:b/>
                <w:szCs w:val="21"/>
              </w:rPr>
            </w:pPr>
            <w:r>
              <w:rPr>
                <w:rFonts w:hint="eastAsia" w:ascii="宋体" w:hAnsi="宋体" w:cs="宋体"/>
                <w:szCs w:val="21"/>
              </w:rPr>
              <mc:AlternateContent>
                <mc:Choice Requires="wps">
                  <w:drawing>
                    <wp:anchor distT="0" distB="0" distL="114300" distR="114300" simplePos="0" relativeHeight="251665408" behindDoc="0" locked="0" layoutInCell="1" allowOverlap="1">
                      <wp:simplePos x="0" y="0"/>
                      <wp:positionH relativeFrom="column">
                        <wp:posOffset>-60325</wp:posOffset>
                      </wp:positionH>
                      <wp:positionV relativeFrom="paragraph">
                        <wp:posOffset>46355</wp:posOffset>
                      </wp:positionV>
                      <wp:extent cx="1504950" cy="647065"/>
                      <wp:effectExtent l="1905" t="4445" r="1905" b="19050"/>
                      <wp:wrapNone/>
                      <wp:docPr id="4" name="直接连接符 4"/>
                      <wp:cNvGraphicFramePr/>
                      <a:graphic xmlns:a="http://schemas.openxmlformats.org/drawingml/2006/main">
                        <a:graphicData uri="http://schemas.microsoft.com/office/word/2010/wordprocessingShape">
                          <wps:wsp>
                            <wps:cNvCnPr/>
                            <wps:spPr>
                              <a:xfrm flipH="1" flipV="1">
                                <a:off x="0" y="0"/>
                                <a:ext cx="1504950" cy="64706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 y;margin-left:-4.75pt;margin-top:3.65pt;height:50.95pt;width:118.5pt;z-index:251665408;mso-width-relative:page;mso-height-relative:page;" filled="f" stroked="t" coordsize="21600,21600" o:gfxdata="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l5/pxNMAAAAIAQAADwAAAAAAAAABACAAAAAiAAAAZHJz&#10;L2Rvd25yZXYueG1sUEsBAhQAFAAAAAgAh07iQH4KazsJAgAACwQAAA4AAAAAAAAAAQAgAAAAIgEA&#10;AGRycy9lMm9Eb2MueG1sUEsFBgAAAAAGAAYAWQEAAJ0FAAAAAA==&#10;">
                      <v:fill on="f" focussize="0,0"/>
                      <v:stroke color="#000000" joinstyle="round"/>
                      <v:imagedata o:title=""/>
                      <o:lock v:ext="edit" aspectratio="f"/>
                    </v:line>
                  </w:pict>
                </mc:Fallback>
              </mc:AlternateContent>
            </w:r>
            <w:r>
              <w:rPr>
                <w:rFonts w:hint="eastAsia" w:ascii="宋体" w:hAnsi="宋体" w:cs="宋体"/>
                <w:b/>
                <w:szCs w:val="21"/>
              </w:rPr>
              <w:t>率　　类</w:t>
            </w:r>
          </w:p>
          <w:p w14:paraId="21947138">
            <w:pPr>
              <w:spacing w:line="440" w:lineRule="exact"/>
              <w:ind w:firstLine="1370" w:firstLineChars="650"/>
              <w:rPr>
                <w:rFonts w:hint="eastAsia" w:ascii="宋体" w:hAnsi="宋体" w:cs="宋体"/>
                <w:b/>
                <w:szCs w:val="21"/>
              </w:rPr>
            </w:pPr>
            <w:r>
              <w:rPr>
                <w:rFonts w:hint="eastAsia" w:ascii="宋体" w:hAnsi="宋体" w:cs="宋体"/>
                <w:b/>
                <w:szCs w:val="21"/>
              </w:rPr>
              <w:t>　　　型</w:t>
            </w:r>
          </w:p>
          <w:p w14:paraId="2D8D5AE4">
            <w:pPr>
              <w:spacing w:line="440" w:lineRule="exact"/>
              <w:rPr>
                <w:rFonts w:hint="eastAsia" w:ascii="宋体" w:hAnsi="宋体" w:cs="宋体"/>
                <w:b/>
                <w:szCs w:val="21"/>
              </w:rPr>
            </w:pPr>
            <w:r>
              <w:rPr>
                <w:rFonts w:hint="eastAsia" w:ascii="宋体" w:hAnsi="宋体" w:cs="宋体"/>
                <w:b/>
                <w:szCs w:val="21"/>
              </w:rPr>
              <w:t>成交金额（万元）</w:t>
            </w:r>
          </w:p>
        </w:tc>
        <w:tc>
          <w:tcPr>
            <w:tcW w:w="2486" w:type="dxa"/>
            <w:tcBorders>
              <w:top w:val="single" w:color="auto" w:sz="4" w:space="0"/>
              <w:left w:val="single" w:color="auto" w:sz="4" w:space="0"/>
              <w:bottom w:val="single" w:color="auto" w:sz="4" w:space="0"/>
              <w:right w:val="single" w:color="auto" w:sz="4" w:space="0"/>
            </w:tcBorders>
            <w:noWrap w:val="0"/>
            <w:vAlign w:val="center"/>
          </w:tcPr>
          <w:p w14:paraId="2CDCB343">
            <w:pPr>
              <w:spacing w:line="440" w:lineRule="exact"/>
              <w:jc w:val="center"/>
              <w:rPr>
                <w:rFonts w:hint="eastAsia" w:ascii="宋体" w:hAnsi="宋体" w:cs="宋体"/>
                <w:b/>
                <w:szCs w:val="21"/>
              </w:rPr>
            </w:pPr>
            <w:r>
              <w:rPr>
                <w:rFonts w:hint="eastAsia" w:ascii="宋体" w:hAnsi="宋体" w:cs="宋体"/>
                <w:b/>
                <w:szCs w:val="21"/>
                <w:lang w:val="en-US" w:eastAsia="zh-CN"/>
              </w:rPr>
              <w:t>货物</w:t>
            </w:r>
            <w:r>
              <w:rPr>
                <w:rFonts w:hint="eastAsia" w:ascii="宋体" w:hAnsi="宋体" w:cs="宋体"/>
                <w:b/>
                <w:szCs w:val="21"/>
              </w:rPr>
              <w:t>招标</w:t>
            </w:r>
          </w:p>
        </w:tc>
      </w:tr>
      <w:tr w14:paraId="45FB8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073" w:type="dxa"/>
            <w:tcBorders>
              <w:top w:val="single" w:color="auto" w:sz="4" w:space="0"/>
              <w:left w:val="single" w:color="auto" w:sz="4" w:space="0"/>
              <w:bottom w:val="single" w:color="auto" w:sz="4" w:space="0"/>
              <w:right w:val="single" w:color="auto" w:sz="4" w:space="0"/>
            </w:tcBorders>
            <w:noWrap w:val="0"/>
            <w:vAlign w:val="top"/>
          </w:tcPr>
          <w:p w14:paraId="2C218F48">
            <w:pPr>
              <w:spacing w:line="440" w:lineRule="exact"/>
              <w:jc w:val="center"/>
              <w:rPr>
                <w:rFonts w:hint="eastAsia" w:ascii="宋体" w:hAnsi="宋体" w:cs="宋体"/>
                <w:szCs w:val="21"/>
              </w:rPr>
            </w:pPr>
            <w:r>
              <w:rPr>
                <w:rFonts w:hint="eastAsia" w:ascii="宋体" w:hAnsi="宋体" w:cs="宋体"/>
                <w:szCs w:val="21"/>
              </w:rPr>
              <w:t>100以下</w:t>
            </w:r>
          </w:p>
        </w:tc>
        <w:tc>
          <w:tcPr>
            <w:tcW w:w="2486" w:type="dxa"/>
            <w:tcBorders>
              <w:top w:val="single" w:color="auto" w:sz="4" w:space="0"/>
              <w:left w:val="single" w:color="auto" w:sz="4" w:space="0"/>
              <w:bottom w:val="single" w:color="auto" w:sz="4" w:space="0"/>
              <w:right w:val="single" w:color="auto" w:sz="4" w:space="0"/>
            </w:tcBorders>
            <w:noWrap w:val="0"/>
            <w:vAlign w:val="top"/>
          </w:tcPr>
          <w:p w14:paraId="032AC21E">
            <w:pPr>
              <w:spacing w:line="440" w:lineRule="exact"/>
              <w:jc w:val="center"/>
              <w:rPr>
                <w:rFonts w:hint="eastAsia" w:ascii="宋体" w:hAnsi="宋体" w:cs="宋体"/>
                <w:szCs w:val="21"/>
              </w:rPr>
            </w:pPr>
            <w:r>
              <w:rPr>
                <w:rFonts w:hint="eastAsia" w:ascii="宋体" w:hAnsi="宋体" w:cs="宋体"/>
                <w:szCs w:val="21"/>
              </w:rPr>
              <w:t>1.5%</w:t>
            </w:r>
          </w:p>
        </w:tc>
      </w:tr>
      <w:tr w14:paraId="0111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073" w:type="dxa"/>
            <w:tcBorders>
              <w:top w:val="single" w:color="auto" w:sz="4" w:space="0"/>
              <w:left w:val="single" w:color="auto" w:sz="4" w:space="0"/>
              <w:bottom w:val="single" w:color="auto" w:sz="4" w:space="0"/>
              <w:right w:val="single" w:color="auto" w:sz="4" w:space="0"/>
            </w:tcBorders>
            <w:noWrap w:val="0"/>
            <w:vAlign w:val="top"/>
          </w:tcPr>
          <w:p w14:paraId="48B10E67">
            <w:pPr>
              <w:spacing w:line="440" w:lineRule="exact"/>
              <w:jc w:val="center"/>
              <w:rPr>
                <w:rFonts w:hint="eastAsia" w:ascii="宋体" w:hAnsi="宋体" w:cs="宋体"/>
                <w:szCs w:val="21"/>
              </w:rPr>
            </w:pPr>
            <w:r>
              <w:rPr>
                <w:rFonts w:hint="eastAsia" w:ascii="宋体" w:hAnsi="宋体" w:cs="宋体"/>
                <w:szCs w:val="21"/>
              </w:rPr>
              <w:t>100-500</w:t>
            </w:r>
          </w:p>
        </w:tc>
        <w:tc>
          <w:tcPr>
            <w:tcW w:w="2486" w:type="dxa"/>
            <w:tcBorders>
              <w:top w:val="single" w:color="auto" w:sz="4" w:space="0"/>
              <w:left w:val="single" w:color="auto" w:sz="4" w:space="0"/>
              <w:bottom w:val="single" w:color="auto" w:sz="4" w:space="0"/>
              <w:right w:val="single" w:color="auto" w:sz="4" w:space="0"/>
            </w:tcBorders>
            <w:noWrap w:val="0"/>
            <w:vAlign w:val="top"/>
          </w:tcPr>
          <w:p w14:paraId="20491F87">
            <w:pPr>
              <w:spacing w:line="440" w:lineRule="exact"/>
              <w:jc w:val="center"/>
              <w:rPr>
                <w:rFonts w:hint="eastAsia" w:ascii="宋体" w:hAnsi="宋体" w:cs="宋体"/>
                <w:szCs w:val="21"/>
              </w:rPr>
            </w:pPr>
            <w:r>
              <w:rPr>
                <w:rFonts w:hint="eastAsia" w:ascii="宋体" w:hAnsi="宋体" w:cs="宋体"/>
                <w:szCs w:val="21"/>
                <w:lang w:val="en-US" w:eastAsia="zh-CN"/>
              </w:rPr>
              <w:t>1.1</w:t>
            </w:r>
            <w:r>
              <w:rPr>
                <w:rFonts w:hint="eastAsia" w:ascii="宋体" w:hAnsi="宋体" w:cs="宋体"/>
                <w:szCs w:val="21"/>
              </w:rPr>
              <w:t>%</w:t>
            </w:r>
          </w:p>
        </w:tc>
      </w:tr>
      <w:tr w14:paraId="5778C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3073" w:type="dxa"/>
            <w:tcBorders>
              <w:top w:val="single" w:color="auto" w:sz="4" w:space="0"/>
              <w:left w:val="single" w:color="auto" w:sz="4" w:space="0"/>
              <w:bottom w:val="single" w:color="auto" w:sz="4" w:space="0"/>
              <w:right w:val="single" w:color="auto" w:sz="4" w:space="0"/>
            </w:tcBorders>
            <w:noWrap w:val="0"/>
            <w:vAlign w:val="top"/>
          </w:tcPr>
          <w:p w14:paraId="6179509A">
            <w:pPr>
              <w:spacing w:line="440" w:lineRule="exact"/>
              <w:jc w:val="center"/>
              <w:rPr>
                <w:rFonts w:hint="eastAsia" w:ascii="宋体" w:hAnsi="宋体" w:cs="宋体"/>
                <w:szCs w:val="21"/>
              </w:rPr>
            </w:pPr>
            <w:r>
              <w:rPr>
                <w:rFonts w:hint="eastAsia" w:ascii="宋体" w:hAnsi="宋体" w:cs="宋体"/>
                <w:szCs w:val="21"/>
                <w:lang w:eastAsia="zh-CN"/>
              </w:rPr>
              <w:t>…</w:t>
            </w:r>
          </w:p>
        </w:tc>
        <w:tc>
          <w:tcPr>
            <w:tcW w:w="2486" w:type="dxa"/>
            <w:tcBorders>
              <w:top w:val="single" w:color="auto" w:sz="4" w:space="0"/>
              <w:left w:val="single" w:color="auto" w:sz="4" w:space="0"/>
              <w:bottom w:val="single" w:color="auto" w:sz="4" w:space="0"/>
              <w:right w:val="single" w:color="auto" w:sz="4" w:space="0"/>
            </w:tcBorders>
            <w:noWrap w:val="0"/>
            <w:vAlign w:val="top"/>
          </w:tcPr>
          <w:p w14:paraId="1F5024D3">
            <w:pPr>
              <w:spacing w:line="440" w:lineRule="exact"/>
              <w:jc w:val="center"/>
              <w:rPr>
                <w:rFonts w:hint="eastAsia" w:ascii="宋体" w:hAnsi="宋体" w:cs="宋体"/>
                <w:szCs w:val="21"/>
              </w:rPr>
            </w:pPr>
            <w:r>
              <w:rPr>
                <w:rFonts w:hint="eastAsia" w:ascii="宋体" w:hAnsi="宋体" w:cs="宋体"/>
                <w:szCs w:val="21"/>
                <w:lang w:eastAsia="zh-CN"/>
              </w:rPr>
              <w:t>…</w:t>
            </w:r>
          </w:p>
        </w:tc>
      </w:tr>
    </w:tbl>
    <w:p w14:paraId="4D639587">
      <w:pPr>
        <w:spacing w:line="460" w:lineRule="exact"/>
        <w:ind w:firstLine="420" w:firstLineChars="200"/>
        <w:rPr>
          <w:rFonts w:ascii="宋体" w:hAnsi="宋体" w:cs="宋体"/>
          <w:szCs w:val="21"/>
          <w:highlight w:val="none"/>
        </w:rPr>
      </w:pPr>
      <w:r>
        <w:rPr>
          <w:rFonts w:hint="eastAsia" w:ascii="宋体" w:hAnsi="宋体" w:cs="宋体"/>
          <w:kern w:val="0"/>
          <w:szCs w:val="21"/>
          <w:highlight w:val="none"/>
        </w:rPr>
        <w:t>8.联系方式</w:t>
      </w:r>
    </w:p>
    <w:p w14:paraId="20FC8493">
      <w:pPr>
        <w:pStyle w:val="9"/>
        <w:tabs>
          <w:tab w:val="left" w:pos="525"/>
        </w:tabs>
        <w:snapToGrid w:val="0"/>
        <w:spacing w:line="460" w:lineRule="exact"/>
        <w:ind w:firstLine="0"/>
        <w:rPr>
          <w:rFonts w:hAnsi="宋体" w:cs="宋体"/>
          <w:spacing w:val="0"/>
          <w:kern w:val="0"/>
          <w:sz w:val="21"/>
          <w:szCs w:val="21"/>
          <w:highlight w:val="none"/>
        </w:rPr>
      </w:pPr>
      <w:r>
        <w:rPr>
          <w:rFonts w:hint="eastAsia" w:hAnsi="宋体" w:cs="宋体"/>
          <w:spacing w:val="0"/>
          <w:kern w:val="0"/>
          <w:sz w:val="21"/>
          <w:szCs w:val="21"/>
          <w:highlight w:val="none"/>
        </w:rPr>
        <w:tab/>
      </w:r>
      <w:r>
        <w:rPr>
          <w:rFonts w:hint="eastAsia" w:hAnsi="宋体" w:cs="宋体"/>
          <w:spacing w:val="0"/>
          <w:kern w:val="0"/>
          <w:sz w:val="21"/>
          <w:szCs w:val="21"/>
          <w:highlight w:val="none"/>
        </w:rPr>
        <w:t>（1）采购单位：江苏中吴常高新环保产业有限公司</w:t>
      </w:r>
    </w:p>
    <w:p w14:paraId="495330A5">
      <w:pPr>
        <w:widowControl/>
        <w:snapToGrid w:val="0"/>
        <w:spacing w:line="460" w:lineRule="exact"/>
        <w:ind w:right="-154" w:firstLine="525" w:firstLineChars="250"/>
        <w:jc w:val="left"/>
        <w:rPr>
          <w:rFonts w:hint="eastAsia" w:ascii="宋体" w:hAnsi="宋体" w:cs="宋体"/>
          <w:szCs w:val="21"/>
          <w:highlight w:val="none"/>
        </w:rPr>
      </w:pPr>
      <w:r>
        <w:rPr>
          <w:rFonts w:hint="eastAsia" w:ascii="宋体" w:hAnsi="宋体" w:cs="宋体"/>
          <w:kern w:val="0"/>
          <w:szCs w:val="21"/>
          <w:highlight w:val="none"/>
        </w:rPr>
        <w:t xml:space="preserve">    联系人：</w:t>
      </w:r>
      <w:r>
        <w:rPr>
          <w:rFonts w:hint="eastAsia" w:ascii="宋体" w:hAnsi="宋体" w:cs="宋体"/>
          <w:kern w:val="0"/>
          <w:szCs w:val="21"/>
          <w:highlight w:val="none"/>
          <w:lang w:val="en-US" w:eastAsia="zh-CN"/>
        </w:rPr>
        <w:t>郑工</w:t>
      </w:r>
      <w:r>
        <w:rPr>
          <w:rFonts w:hint="eastAsia" w:ascii="宋体" w:hAnsi="宋体" w:cs="宋体"/>
          <w:kern w:val="0"/>
          <w:szCs w:val="21"/>
          <w:highlight w:val="none"/>
        </w:rPr>
        <w:t xml:space="preserve">    电话：0519-85980888</w:t>
      </w:r>
    </w:p>
    <w:p w14:paraId="65E14EF6">
      <w:pPr>
        <w:widowControl/>
        <w:snapToGrid w:val="0"/>
        <w:spacing w:line="460" w:lineRule="exact"/>
        <w:ind w:right="-154" w:firstLine="525" w:firstLineChars="250"/>
        <w:jc w:val="left"/>
        <w:rPr>
          <w:rFonts w:ascii="宋体" w:hAnsi="宋体" w:cs="宋体"/>
          <w:kern w:val="0"/>
          <w:szCs w:val="21"/>
          <w:highlight w:val="none"/>
        </w:rPr>
      </w:pPr>
      <w:r>
        <w:rPr>
          <w:rFonts w:hint="eastAsia" w:ascii="宋体" w:hAnsi="宋体" w:cs="宋体"/>
          <w:kern w:val="0"/>
          <w:szCs w:val="21"/>
          <w:highlight w:val="none"/>
        </w:rPr>
        <w:t>（2）采购代理机构：</w:t>
      </w:r>
      <w:r>
        <w:rPr>
          <w:rFonts w:hint="eastAsia" w:ascii="宋体" w:hAnsi="宋体" w:cs="宋体"/>
          <w:szCs w:val="21"/>
          <w:highlight w:val="none"/>
        </w:rPr>
        <w:t>江苏恒卓工程管理咨询有限公司</w:t>
      </w:r>
    </w:p>
    <w:p w14:paraId="7EF419D9">
      <w:pPr>
        <w:widowControl/>
        <w:snapToGrid w:val="0"/>
        <w:spacing w:line="460" w:lineRule="exact"/>
        <w:ind w:right="-154" w:firstLine="945" w:firstLineChars="450"/>
        <w:jc w:val="left"/>
        <w:rPr>
          <w:rFonts w:ascii="宋体" w:hAnsi="宋体" w:cs="宋体"/>
          <w:kern w:val="0"/>
          <w:szCs w:val="21"/>
          <w:highlight w:val="none"/>
        </w:rPr>
      </w:pPr>
      <w:r>
        <w:rPr>
          <w:rFonts w:hint="eastAsia" w:ascii="宋体" w:hAnsi="宋体" w:cs="宋体"/>
          <w:kern w:val="0"/>
          <w:szCs w:val="21"/>
          <w:highlight w:val="none"/>
        </w:rPr>
        <w:t>联系人：曹工        电话：</w:t>
      </w:r>
      <w:r>
        <w:rPr>
          <w:rFonts w:hint="eastAsia" w:ascii="宋体" w:hAnsi="宋体" w:cs="宋体"/>
          <w:szCs w:val="21"/>
          <w:highlight w:val="none"/>
        </w:rPr>
        <w:t>0519-83999268</w:t>
      </w:r>
    </w:p>
    <w:p w14:paraId="0B6FC459">
      <w:pPr>
        <w:adjustRightInd w:val="0"/>
        <w:snapToGrid w:val="0"/>
        <w:spacing w:line="460" w:lineRule="exact"/>
        <w:rPr>
          <w:rFonts w:ascii="宋体" w:hAnsi="宋体" w:cs="宋体"/>
          <w:b/>
          <w:bCs/>
          <w:kern w:val="0"/>
          <w:szCs w:val="21"/>
          <w:highlight w:val="none"/>
        </w:rPr>
      </w:pPr>
      <w:r>
        <w:rPr>
          <w:rFonts w:hint="eastAsia" w:ascii="宋体" w:hAnsi="宋体" w:cs="宋体"/>
          <w:b/>
          <w:bCs/>
          <w:kern w:val="0"/>
          <w:szCs w:val="21"/>
          <w:highlight w:val="none"/>
        </w:rPr>
        <w:t>九、采购内容及基本要求</w:t>
      </w:r>
    </w:p>
    <w:p w14:paraId="5C4B3DB7">
      <w:pPr>
        <w:adjustRightInd w:val="0"/>
        <w:snapToGrid w:val="0"/>
        <w:spacing w:line="440" w:lineRule="exact"/>
        <w:ind w:right="-315" w:rightChars="-150"/>
        <w:rPr>
          <w:rFonts w:hint="eastAsia" w:ascii="宋体" w:hAnsi="宋体" w:cs="宋体"/>
          <w:b/>
          <w:bCs/>
          <w:szCs w:val="21"/>
          <w:highlight w:val="none"/>
          <w:lang w:val="en-US" w:eastAsia="zh-CN"/>
        </w:rPr>
      </w:pPr>
      <w:bookmarkStart w:id="0" w:name="_Toc322435823"/>
      <w:bookmarkStart w:id="1" w:name="_Toc322436228"/>
      <w:bookmarkStart w:id="2" w:name="_Toc331061664"/>
      <w:bookmarkStart w:id="3" w:name="_Toc322436048"/>
      <w:bookmarkStart w:id="4" w:name="_Toc322435993"/>
      <w:bookmarkStart w:id="5" w:name="_Toc330998556"/>
    </w:p>
    <w:p w14:paraId="305B95A7">
      <w:pPr>
        <w:adjustRightInd w:val="0"/>
        <w:snapToGrid w:val="0"/>
        <w:spacing w:line="440" w:lineRule="exact"/>
        <w:ind w:right="-315" w:rightChars="-150"/>
        <w:rPr>
          <w:rFonts w:hint="eastAsia" w:ascii="宋体" w:hAnsi="宋体" w:cs="宋体"/>
          <w:b/>
          <w:bCs/>
          <w:szCs w:val="21"/>
          <w:lang w:val="en-US" w:eastAsia="zh-CN"/>
        </w:rPr>
      </w:pPr>
    </w:p>
    <w:p w14:paraId="672E84D0">
      <w:pPr>
        <w:adjustRightInd w:val="0"/>
        <w:snapToGrid w:val="0"/>
        <w:spacing w:line="440" w:lineRule="exact"/>
        <w:ind w:right="-315" w:rightChars="-150"/>
        <w:rPr>
          <w:rFonts w:hint="default" w:ascii="宋体" w:hAnsi="宋体" w:eastAsia="宋体" w:cs="宋体"/>
          <w:b/>
          <w:bCs/>
          <w:szCs w:val="21"/>
          <w:lang w:val="en-US" w:eastAsia="zh-CN"/>
        </w:rPr>
      </w:pPr>
      <w:r>
        <w:rPr>
          <w:rFonts w:hint="eastAsia" w:ascii="宋体" w:hAnsi="宋体" w:cs="宋体"/>
          <w:b/>
          <w:bCs/>
          <w:szCs w:val="21"/>
          <w:lang w:val="en-US" w:eastAsia="zh-CN"/>
        </w:rPr>
        <w:t>（一）项目参数及要求</w:t>
      </w:r>
    </w:p>
    <w:tbl>
      <w:tblPr>
        <w:tblStyle w:val="26"/>
        <w:tblW w:w="89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6"/>
        <w:gridCol w:w="1540"/>
        <w:gridCol w:w="5731"/>
        <w:gridCol w:w="782"/>
        <w:gridCol w:w="478"/>
      </w:tblGrid>
      <w:tr w14:paraId="343D9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blHeader/>
          <w:jc w:val="center"/>
        </w:trPr>
        <w:tc>
          <w:tcPr>
            <w:tcW w:w="466" w:type="dxa"/>
            <w:tcBorders>
              <w:top w:val="single" w:color="000000" w:sz="4" w:space="0"/>
              <w:left w:val="single" w:color="000000" w:sz="4" w:space="0"/>
              <w:bottom w:val="single" w:color="auto" w:sz="4" w:space="0"/>
              <w:right w:val="single" w:color="000000" w:sz="4" w:space="0"/>
            </w:tcBorders>
            <w:noWrap w:val="0"/>
            <w:vAlign w:val="center"/>
          </w:tcPr>
          <w:p w14:paraId="0F887A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540" w:type="dxa"/>
            <w:tcBorders>
              <w:top w:val="single" w:color="000000" w:sz="4" w:space="0"/>
              <w:left w:val="single" w:color="000000" w:sz="4" w:space="0"/>
              <w:bottom w:val="single" w:color="auto" w:sz="4" w:space="0"/>
              <w:right w:val="single" w:color="000000" w:sz="4" w:space="0"/>
            </w:tcBorders>
            <w:noWrap w:val="0"/>
            <w:vAlign w:val="center"/>
          </w:tcPr>
          <w:p w14:paraId="58D731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产品描述名称</w:t>
            </w:r>
          </w:p>
        </w:tc>
        <w:tc>
          <w:tcPr>
            <w:tcW w:w="5731" w:type="dxa"/>
            <w:tcBorders>
              <w:top w:val="single" w:color="000000" w:sz="4" w:space="0"/>
              <w:left w:val="single" w:color="000000" w:sz="4" w:space="0"/>
              <w:bottom w:val="single" w:color="auto" w:sz="4" w:space="0"/>
              <w:right w:val="single" w:color="000000" w:sz="4" w:space="0"/>
            </w:tcBorders>
            <w:noWrap w:val="0"/>
            <w:vAlign w:val="center"/>
          </w:tcPr>
          <w:p w14:paraId="45A9C3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技术参数</w:t>
            </w:r>
          </w:p>
        </w:tc>
        <w:tc>
          <w:tcPr>
            <w:tcW w:w="782" w:type="dxa"/>
            <w:tcBorders>
              <w:top w:val="single" w:color="000000" w:sz="4" w:space="0"/>
              <w:left w:val="single" w:color="000000" w:sz="4" w:space="0"/>
              <w:bottom w:val="single" w:color="auto" w:sz="4" w:space="0"/>
              <w:right w:val="single" w:color="000000" w:sz="4" w:space="0"/>
            </w:tcBorders>
            <w:noWrap w:val="0"/>
            <w:vAlign w:val="center"/>
          </w:tcPr>
          <w:p w14:paraId="45FCBC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478" w:type="dxa"/>
            <w:tcBorders>
              <w:top w:val="single" w:color="000000" w:sz="4" w:space="0"/>
              <w:left w:val="single" w:color="000000" w:sz="4" w:space="0"/>
              <w:bottom w:val="single" w:color="auto" w:sz="4" w:space="0"/>
              <w:right w:val="single" w:color="000000" w:sz="4" w:space="0"/>
            </w:tcBorders>
            <w:noWrap w:val="0"/>
            <w:vAlign w:val="center"/>
          </w:tcPr>
          <w:p w14:paraId="2352C1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r>
      <w:tr w14:paraId="3C05C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8997" w:type="dxa"/>
            <w:gridSpan w:val="5"/>
            <w:tcBorders>
              <w:top w:val="single" w:color="auto" w:sz="4" w:space="0"/>
              <w:left w:val="single" w:color="auto" w:sz="4" w:space="0"/>
              <w:bottom w:val="single" w:color="auto" w:sz="4" w:space="0"/>
              <w:right w:val="single" w:color="auto" w:sz="4" w:space="0"/>
            </w:tcBorders>
            <w:noWrap/>
            <w:vAlign w:val="center"/>
          </w:tcPr>
          <w:p w14:paraId="4048A26B">
            <w:pPr>
              <w:snapToGrid w:val="0"/>
              <w:ind w:left="0" w:leftChars="0" w:right="0" w:rightChars="0" w:firstLine="0" w:firstLineChars="0"/>
              <w:jc w:val="left"/>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会议LED屏</w:t>
            </w:r>
          </w:p>
        </w:tc>
      </w:tr>
      <w:tr w14:paraId="7A233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1" w:hRule="atLeast"/>
          <w:jc w:val="center"/>
        </w:trPr>
        <w:tc>
          <w:tcPr>
            <w:tcW w:w="466" w:type="dxa"/>
            <w:tcBorders>
              <w:top w:val="single" w:color="auto" w:sz="4" w:space="0"/>
              <w:left w:val="single" w:color="000000" w:sz="4" w:space="0"/>
              <w:bottom w:val="single" w:color="000000" w:sz="4" w:space="0"/>
              <w:right w:val="single" w:color="000000" w:sz="4" w:space="0"/>
            </w:tcBorders>
            <w:noWrap w:val="0"/>
            <w:vAlign w:val="center"/>
          </w:tcPr>
          <w:p w14:paraId="699BCE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40" w:type="dxa"/>
            <w:tcBorders>
              <w:top w:val="single" w:color="auto" w:sz="4" w:space="0"/>
              <w:left w:val="single" w:color="000000" w:sz="4" w:space="0"/>
              <w:bottom w:val="single" w:color="000000" w:sz="4" w:space="0"/>
              <w:right w:val="single" w:color="000000" w:sz="4" w:space="0"/>
            </w:tcBorders>
            <w:noWrap w:val="0"/>
            <w:vAlign w:val="center"/>
          </w:tcPr>
          <w:p w14:paraId="460162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LED主显示屏</w:t>
            </w:r>
          </w:p>
        </w:tc>
        <w:tc>
          <w:tcPr>
            <w:tcW w:w="5731" w:type="dxa"/>
            <w:tcBorders>
              <w:top w:val="single" w:color="auto" w:sz="4" w:space="0"/>
              <w:left w:val="single" w:color="000000" w:sz="4" w:space="0"/>
              <w:bottom w:val="single" w:color="000000" w:sz="4" w:space="0"/>
              <w:right w:val="single" w:color="000000" w:sz="4" w:space="0"/>
            </w:tcBorders>
            <w:noWrap w:val="0"/>
            <w:vAlign w:val="center"/>
          </w:tcPr>
          <w:p w14:paraId="67A6E2B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1.尺寸≥5.12m*≥2.88m，显示分辨率不低于3328点*1872点，显示面积不低于14.74平米；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▲2.像数物理间距≤1.538mm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▲3.像素密度≥422500点/平方；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4.对比度≥5000:1；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5.白平衡亮度≥500cd/㎡；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6.视角：水平视角≥160°，垂直视角≥140°；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7.换帧频率：50&amp;60Hz；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8.模组亮度均匀性≥97%；</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9.低亮高灰：100%亮度时，18bit灰度，20%亮度时，≥14bit灰度；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10.峰值功耗≤460W/㎡、平均功耗≤145W/㎡；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11.使用寿命≥100000小时；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12.IP等级符合IP6X；</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13.PCB防火等级达V-0级；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14.校正功能：支持模块校正和数据储存及回读。支持单点亮度校正，支持单点色度校正，支灰度校正；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15.采用4层PCB设计，一体化驱动控制，PCB 表面沉金处理，采用抗消隐设计，无“毛毛虫”“鬼影”跟随现象；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16.色度均匀性：±0.002Cx，Cy之内；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17.驱动方式：恒流驱动；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18.支持自动对位设计；具有拼缝微调功能；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19.发光点中心距偏差≤2%；</w:t>
            </w:r>
          </w:p>
        </w:tc>
        <w:tc>
          <w:tcPr>
            <w:tcW w:w="782" w:type="dxa"/>
            <w:tcBorders>
              <w:top w:val="single" w:color="auto" w:sz="4" w:space="0"/>
              <w:left w:val="single" w:color="000000" w:sz="4" w:space="0"/>
              <w:bottom w:val="single" w:color="000000" w:sz="4" w:space="0"/>
              <w:right w:val="single" w:color="000000" w:sz="4" w:space="0"/>
            </w:tcBorders>
            <w:noWrap w:val="0"/>
            <w:vAlign w:val="center"/>
          </w:tcPr>
          <w:p w14:paraId="6F16AE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14.74</w:t>
            </w:r>
          </w:p>
        </w:tc>
        <w:tc>
          <w:tcPr>
            <w:tcW w:w="478" w:type="dxa"/>
            <w:tcBorders>
              <w:top w:val="single" w:color="auto" w:sz="4" w:space="0"/>
              <w:left w:val="single" w:color="000000" w:sz="4" w:space="0"/>
              <w:bottom w:val="single" w:color="000000" w:sz="4" w:space="0"/>
              <w:right w:val="single" w:color="000000" w:sz="4" w:space="0"/>
            </w:tcBorders>
            <w:noWrap w:val="0"/>
            <w:vAlign w:val="center"/>
          </w:tcPr>
          <w:p w14:paraId="47B7C9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r>
      <w:tr w14:paraId="71743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466" w:type="dxa"/>
            <w:tcBorders>
              <w:top w:val="single" w:color="000000" w:sz="4" w:space="0"/>
              <w:left w:val="single" w:color="000000" w:sz="4" w:space="0"/>
              <w:bottom w:val="single" w:color="000000" w:sz="4" w:space="0"/>
              <w:right w:val="single" w:color="000000" w:sz="4" w:space="0"/>
            </w:tcBorders>
            <w:noWrap w:val="0"/>
            <w:vAlign w:val="center"/>
          </w:tcPr>
          <w:p w14:paraId="58CBD1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263391A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控制系统</w:t>
            </w:r>
          </w:p>
        </w:tc>
        <w:tc>
          <w:tcPr>
            <w:tcW w:w="5731" w:type="dxa"/>
            <w:tcBorders>
              <w:top w:val="single" w:color="000000" w:sz="4" w:space="0"/>
              <w:left w:val="single" w:color="000000" w:sz="4" w:space="0"/>
              <w:bottom w:val="single" w:color="000000" w:sz="4" w:space="0"/>
              <w:right w:val="single" w:color="000000" w:sz="4" w:space="0"/>
            </w:tcBorders>
            <w:noWrap w:val="0"/>
            <w:vAlign w:val="center"/>
          </w:tcPr>
          <w:p w14:paraId="5F53D9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输入：HDMI2.0*1，HDMI1.3*2；输出：网口*8</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5ED77D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5AB82F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47096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466" w:type="dxa"/>
            <w:tcBorders>
              <w:top w:val="single" w:color="000000" w:sz="4" w:space="0"/>
              <w:left w:val="single" w:color="000000" w:sz="4" w:space="0"/>
              <w:bottom w:val="single" w:color="000000" w:sz="4" w:space="0"/>
              <w:right w:val="single" w:color="000000" w:sz="4" w:space="0"/>
            </w:tcBorders>
            <w:noWrap w:val="0"/>
            <w:vAlign w:val="center"/>
          </w:tcPr>
          <w:p w14:paraId="0890E8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23120E8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接收卡</w:t>
            </w:r>
          </w:p>
        </w:tc>
        <w:tc>
          <w:tcPr>
            <w:tcW w:w="5731" w:type="dxa"/>
            <w:tcBorders>
              <w:top w:val="single" w:color="000000" w:sz="4" w:space="0"/>
              <w:left w:val="single" w:color="000000" w:sz="4" w:space="0"/>
              <w:bottom w:val="single" w:color="000000" w:sz="4" w:space="0"/>
              <w:right w:val="single" w:color="000000" w:sz="4" w:space="0"/>
            </w:tcBorders>
            <w:noWrap w:val="0"/>
            <w:vAlign w:val="center"/>
          </w:tcPr>
          <w:p w14:paraId="1863FB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接收卡</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464652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0B9DDB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14:paraId="476BD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466" w:type="dxa"/>
            <w:tcBorders>
              <w:top w:val="single" w:color="000000" w:sz="4" w:space="0"/>
              <w:left w:val="single" w:color="000000" w:sz="4" w:space="0"/>
              <w:bottom w:val="single" w:color="000000" w:sz="4" w:space="0"/>
              <w:right w:val="single" w:color="000000" w:sz="4" w:space="0"/>
            </w:tcBorders>
            <w:noWrap w:val="0"/>
            <w:vAlign w:val="center"/>
          </w:tcPr>
          <w:p w14:paraId="6C6A7A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6716C8A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框架结构</w:t>
            </w:r>
          </w:p>
        </w:tc>
        <w:tc>
          <w:tcPr>
            <w:tcW w:w="5731" w:type="dxa"/>
            <w:tcBorders>
              <w:top w:val="single" w:color="000000" w:sz="4" w:space="0"/>
              <w:left w:val="single" w:color="000000" w:sz="4" w:space="0"/>
              <w:bottom w:val="single" w:color="000000" w:sz="4" w:space="0"/>
              <w:right w:val="single" w:color="000000" w:sz="4" w:space="0"/>
            </w:tcBorders>
            <w:noWrap w:val="0"/>
            <w:vAlign w:val="center"/>
          </w:tcPr>
          <w:p w14:paraId="237A829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定制不锈钢包边结构</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6A8BA9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15.55</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4487CC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r>
      <w:tr w14:paraId="37155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466" w:type="dxa"/>
            <w:tcBorders>
              <w:top w:val="single" w:color="000000" w:sz="4" w:space="0"/>
              <w:left w:val="single" w:color="000000" w:sz="4" w:space="0"/>
              <w:bottom w:val="single" w:color="000000" w:sz="4" w:space="0"/>
              <w:right w:val="single" w:color="000000" w:sz="4" w:space="0"/>
            </w:tcBorders>
            <w:noWrap w:val="0"/>
            <w:vAlign w:val="center"/>
          </w:tcPr>
          <w:p w14:paraId="3F4C55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05F85B1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配电柜</w:t>
            </w:r>
          </w:p>
        </w:tc>
        <w:tc>
          <w:tcPr>
            <w:tcW w:w="5731" w:type="dxa"/>
            <w:tcBorders>
              <w:top w:val="single" w:color="000000" w:sz="4" w:space="0"/>
              <w:left w:val="single" w:color="000000" w:sz="4" w:space="0"/>
              <w:bottom w:val="single" w:color="000000" w:sz="4" w:space="0"/>
              <w:right w:val="single" w:color="000000" w:sz="4" w:space="0"/>
            </w:tcBorders>
            <w:noWrap w:val="0"/>
            <w:vAlign w:val="center"/>
          </w:tcPr>
          <w:p w14:paraId="07E788E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专用20kw智能配电柜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126B76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05657A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1D1E5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466" w:type="dxa"/>
            <w:tcBorders>
              <w:top w:val="single" w:color="000000" w:sz="4" w:space="0"/>
              <w:left w:val="single" w:color="000000" w:sz="4" w:space="0"/>
              <w:bottom w:val="single" w:color="000000" w:sz="4" w:space="0"/>
              <w:right w:val="single" w:color="000000" w:sz="4" w:space="0"/>
            </w:tcBorders>
            <w:noWrap w:val="0"/>
            <w:vAlign w:val="center"/>
          </w:tcPr>
          <w:p w14:paraId="63623E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6554D95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电力电缆</w:t>
            </w:r>
          </w:p>
        </w:tc>
        <w:tc>
          <w:tcPr>
            <w:tcW w:w="5731" w:type="dxa"/>
            <w:tcBorders>
              <w:top w:val="single" w:color="000000" w:sz="4" w:space="0"/>
              <w:left w:val="single" w:color="000000" w:sz="4" w:space="0"/>
              <w:bottom w:val="single" w:color="000000" w:sz="4" w:space="0"/>
              <w:right w:val="single" w:color="000000" w:sz="4" w:space="0"/>
            </w:tcBorders>
            <w:noWrap w:val="0"/>
            <w:vAlign w:val="center"/>
          </w:tcPr>
          <w:p w14:paraId="47DCBC5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YJV4*25+1*16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377C85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6E4910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14:paraId="72F71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466" w:type="dxa"/>
            <w:tcBorders>
              <w:top w:val="single" w:color="000000" w:sz="4" w:space="0"/>
              <w:left w:val="single" w:color="000000" w:sz="4" w:space="0"/>
              <w:bottom w:val="single" w:color="000000" w:sz="4" w:space="0"/>
              <w:right w:val="single" w:color="000000" w:sz="4" w:space="0"/>
            </w:tcBorders>
            <w:noWrap w:val="0"/>
            <w:vAlign w:val="center"/>
          </w:tcPr>
          <w:p w14:paraId="422CDC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185970C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网线</w:t>
            </w:r>
          </w:p>
        </w:tc>
        <w:tc>
          <w:tcPr>
            <w:tcW w:w="5731" w:type="dxa"/>
            <w:tcBorders>
              <w:top w:val="single" w:color="000000" w:sz="4" w:space="0"/>
              <w:left w:val="single" w:color="000000" w:sz="4" w:space="0"/>
              <w:bottom w:val="single" w:color="000000" w:sz="4" w:space="0"/>
              <w:right w:val="single" w:color="000000" w:sz="4" w:space="0"/>
            </w:tcBorders>
            <w:noWrap w:val="0"/>
            <w:vAlign w:val="center"/>
          </w:tcPr>
          <w:p w14:paraId="17A088D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CTA6-4*2*0.58</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2FA27C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5B18D1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14:paraId="3A6E4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466" w:type="dxa"/>
            <w:tcBorders>
              <w:top w:val="single" w:color="000000" w:sz="4" w:space="0"/>
              <w:left w:val="single" w:color="000000" w:sz="4" w:space="0"/>
              <w:bottom w:val="single" w:color="000000" w:sz="4" w:space="0"/>
              <w:right w:val="single" w:color="000000" w:sz="4" w:space="0"/>
            </w:tcBorders>
            <w:noWrap w:val="0"/>
            <w:vAlign w:val="center"/>
          </w:tcPr>
          <w:p w14:paraId="25FD1E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7D6C5F8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电源线</w:t>
            </w:r>
          </w:p>
        </w:tc>
        <w:tc>
          <w:tcPr>
            <w:tcW w:w="5731" w:type="dxa"/>
            <w:tcBorders>
              <w:top w:val="single" w:color="000000" w:sz="4" w:space="0"/>
              <w:left w:val="single" w:color="000000" w:sz="4" w:space="0"/>
              <w:bottom w:val="single" w:color="000000" w:sz="4" w:space="0"/>
              <w:right w:val="single" w:color="000000" w:sz="4" w:space="0"/>
            </w:tcBorders>
            <w:noWrap w:val="0"/>
            <w:vAlign w:val="center"/>
          </w:tcPr>
          <w:p w14:paraId="2A7A2AB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YJV3*2.5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634B72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07C809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14:paraId="796FE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466" w:type="dxa"/>
            <w:tcBorders>
              <w:top w:val="single" w:color="000000" w:sz="4" w:space="0"/>
              <w:left w:val="single" w:color="000000" w:sz="4" w:space="0"/>
              <w:bottom w:val="single" w:color="000000" w:sz="4" w:space="0"/>
              <w:right w:val="single" w:color="000000" w:sz="4" w:space="0"/>
            </w:tcBorders>
            <w:noWrap w:val="0"/>
            <w:vAlign w:val="center"/>
          </w:tcPr>
          <w:p w14:paraId="53FE2E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292002A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光纤高清线</w:t>
            </w:r>
          </w:p>
        </w:tc>
        <w:tc>
          <w:tcPr>
            <w:tcW w:w="5731" w:type="dxa"/>
            <w:tcBorders>
              <w:top w:val="single" w:color="000000" w:sz="4" w:space="0"/>
              <w:left w:val="single" w:color="000000" w:sz="4" w:space="0"/>
              <w:bottom w:val="single" w:color="000000" w:sz="4" w:space="0"/>
              <w:right w:val="single" w:color="000000" w:sz="4" w:space="0"/>
            </w:tcBorders>
            <w:noWrap w:val="0"/>
            <w:vAlign w:val="center"/>
          </w:tcPr>
          <w:p w14:paraId="79C4F00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光纤高清线50米</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796236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7AE8F2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r>
      <w:tr w14:paraId="424E2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466" w:type="dxa"/>
            <w:tcBorders>
              <w:top w:val="single" w:color="000000" w:sz="4" w:space="0"/>
              <w:left w:val="single" w:color="000000" w:sz="4" w:space="0"/>
              <w:bottom w:val="single" w:color="auto" w:sz="4" w:space="0"/>
              <w:right w:val="single" w:color="000000" w:sz="4" w:space="0"/>
            </w:tcBorders>
            <w:noWrap w:val="0"/>
            <w:vAlign w:val="center"/>
          </w:tcPr>
          <w:p w14:paraId="32C86C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40" w:type="dxa"/>
            <w:tcBorders>
              <w:top w:val="single" w:color="000000" w:sz="4" w:space="0"/>
              <w:left w:val="single" w:color="000000" w:sz="4" w:space="0"/>
              <w:bottom w:val="single" w:color="auto" w:sz="4" w:space="0"/>
              <w:right w:val="single" w:color="000000" w:sz="4" w:space="0"/>
            </w:tcBorders>
            <w:noWrap w:val="0"/>
            <w:vAlign w:val="center"/>
          </w:tcPr>
          <w:p w14:paraId="421D57B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桥架</w:t>
            </w:r>
          </w:p>
        </w:tc>
        <w:tc>
          <w:tcPr>
            <w:tcW w:w="5731" w:type="dxa"/>
            <w:tcBorders>
              <w:top w:val="single" w:color="000000" w:sz="4" w:space="0"/>
              <w:left w:val="single" w:color="000000" w:sz="4" w:space="0"/>
              <w:bottom w:val="single" w:color="auto" w:sz="4" w:space="0"/>
              <w:right w:val="single" w:color="000000" w:sz="4" w:space="0"/>
            </w:tcBorders>
            <w:noWrap w:val="0"/>
            <w:vAlign w:val="center"/>
          </w:tcPr>
          <w:p w14:paraId="6DF7702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不锈钢桥架</w:t>
            </w:r>
          </w:p>
        </w:tc>
        <w:tc>
          <w:tcPr>
            <w:tcW w:w="782" w:type="dxa"/>
            <w:tcBorders>
              <w:top w:val="single" w:color="000000" w:sz="4" w:space="0"/>
              <w:left w:val="single" w:color="000000" w:sz="4" w:space="0"/>
              <w:bottom w:val="single" w:color="auto" w:sz="4" w:space="0"/>
              <w:right w:val="single" w:color="000000" w:sz="4" w:space="0"/>
            </w:tcBorders>
            <w:noWrap w:val="0"/>
            <w:vAlign w:val="center"/>
          </w:tcPr>
          <w:p w14:paraId="5E8B09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78" w:type="dxa"/>
            <w:tcBorders>
              <w:top w:val="single" w:color="000000" w:sz="4" w:space="0"/>
              <w:left w:val="single" w:color="000000" w:sz="4" w:space="0"/>
              <w:bottom w:val="single" w:color="auto" w:sz="4" w:space="0"/>
              <w:right w:val="single" w:color="000000" w:sz="4" w:space="0"/>
            </w:tcBorders>
            <w:noWrap w:val="0"/>
            <w:vAlign w:val="center"/>
          </w:tcPr>
          <w:p w14:paraId="1AD8F3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14:paraId="37C48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8997" w:type="dxa"/>
            <w:gridSpan w:val="5"/>
            <w:tcBorders>
              <w:top w:val="single" w:color="auto" w:sz="4" w:space="0"/>
              <w:left w:val="single" w:color="auto" w:sz="4" w:space="0"/>
              <w:bottom w:val="single" w:color="auto" w:sz="4" w:space="0"/>
              <w:right w:val="single" w:color="auto" w:sz="4" w:space="0"/>
            </w:tcBorders>
            <w:noWrap/>
            <w:vAlign w:val="center"/>
          </w:tcPr>
          <w:p w14:paraId="1DA35439">
            <w:pPr>
              <w:snapToGrid w:val="0"/>
              <w:ind w:left="0" w:leftChars="0" w:right="0" w:rightChars="0" w:firstLine="0" w:firstLineChars="0"/>
              <w:jc w:val="left"/>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A、扩声系统</w:t>
            </w:r>
          </w:p>
        </w:tc>
      </w:tr>
      <w:tr w14:paraId="75F76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4" w:hRule="atLeast"/>
          <w:jc w:val="center"/>
        </w:trPr>
        <w:tc>
          <w:tcPr>
            <w:tcW w:w="466" w:type="dxa"/>
            <w:tcBorders>
              <w:top w:val="single" w:color="auto" w:sz="4" w:space="0"/>
              <w:left w:val="single" w:color="000000" w:sz="4" w:space="0"/>
              <w:bottom w:val="single" w:color="000000" w:sz="4" w:space="0"/>
              <w:right w:val="single" w:color="000000" w:sz="4" w:space="0"/>
            </w:tcBorders>
            <w:noWrap/>
            <w:vAlign w:val="center"/>
          </w:tcPr>
          <w:p w14:paraId="314099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40" w:type="dxa"/>
            <w:tcBorders>
              <w:top w:val="single" w:color="auto" w:sz="4" w:space="0"/>
              <w:left w:val="single" w:color="000000" w:sz="4" w:space="0"/>
              <w:bottom w:val="single" w:color="000000" w:sz="4" w:space="0"/>
              <w:right w:val="single" w:color="000000" w:sz="4" w:space="0"/>
            </w:tcBorders>
            <w:noWrap w:val="0"/>
            <w:vAlign w:val="center"/>
          </w:tcPr>
          <w:p w14:paraId="4EF924B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主音箱</w:t>
            </w:r>
          </w:p>
        </w:tc>
        <w:tc>
          <w:tcPr>
            <w:tcW w:w="5731" w:type="dxa"/>
            <w:tcBorders>
              <w:top w:val="single" w:color="auto" w:sz="4" w:space="0"/>
              <w:left w:val="single" w:color="000000" w:sz="4" w:space="0"/>
              <w:bottom w:val="single" w:color="000000" w:sz="4" w:space="0"/>
              <w:right w:val="single" w:color="000000" w:sz="4" w:space="0"/>
            </w:tcBorders>
            <w:noWrap w:val="0"/>
            <w:vAlign w:val="center"/>
          </w:tcPr>
          <w:p w14:paraId="1B45F32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1.阻抗≤8</w:t>
            </w:r>
            <w:r>
              <w:rPr>
                <w:rStyle w:val="50"/>
                <w:rFonts w:hint="eastAsia" w:ascii="宋体" w:hAnsi="宋体" w:eastAsia="宋体" w:cs="宋体"/>
                <w:sz w:val="21"/>
                <w:szCs w:val="21"/>
                <w:lang w:val="en-US" w:eastAsia="zh-CN" w:bidi="ar"/>
              </w:rPr>
              <w:t>Ω</w:t>
            </w:r>
            <w:r>
              <w:rPr>
                <w:rStyle w:val="55"/>
                <w:rFonts w:hint="eastAsia" w:ascii="宋体" w:hAnsi="宋体" w:eastAsia="宋体" w:cs="宋体"/>
                <w:sz w:val="21"/>
                <w:szCs w:val="21"/>
                <w:lang w:val="en-US" w:eastAsia="zh-CN" w:bidi="ar"/>
              </w:rPr>
              <w:br w:type="textWrapping"/>
            </w:r>
            <w:r>
              <w:rPr>
                <w:rStyle w:val="55"/>
                <w:rFonts w:hint="eastAsia" w:ascii="宋体" w:hAnsi="宋体" w:eastAsia="宋体" w:cs="宋体"/>
                <w:sz w:val="21"/>
                <w:szCs w:val="21"/>
                <w:lang w:val="en-US" w:eastAsia="zh-CN" w:bidi="ar"/>
              </w:rPr>
              <w:t>2.频响等同或优于60Hz~20KHz</w:t>
            </w:r>
            <w:r>
              <w:rPr>
                <w:rStyle w:val="55"/>
                <w:rFonts w:hint="eastAsia" w:ascii="宋体" w:hAnsi="宋体" w:eastAsia="宋体" w:cs="宋体"/>
                <w:sz w:val="21"/>
                <w:szCs w:val="21"/>
                <w:lang w:val="en-US" w:eastAsia="zh-CN" w:bidi="ar"/>
              </w:rPr>
              <w:br w:type="textWrapping"/>
            </w:r>
            <w:r>
              <w:rPr>
                <w:rStyle w:val="55"/>
                <w:rFonts w:hint="eastAsia" w:ascii="宋体" w:hAnsi="宋体" w:eastAsia="宋体" w:cs="宋体"/>
                <w:sz w:val="21"/>
                <w:szCs w:val="21"/>
                <w:lang w:val="en-US" w:eastAsia="zh-CN" w:bidi="ar"/>
              </w:rPr>
              <w:t>3.额定功率≥200W</w:t>
            </w:r>
            <w:r>
              <w:rPr>
                <w:rStyle w:val="55"/>
                <w:rFonts w:hint="eastAsia" w:ascii="宋体" w:hAnsi="宋体" w:eastAsia="宋体" w:cs="宋体"/>
                <w:sz w:val="21"/>
                <w:szCs w:val="21"/>
                <w:lang w:val="en-US" w:eastAsia="zh-CN" w:bidi="ar"/>
              </w:rPr>
              <w:br w:type="textWrapping"/>
            </w:r>
            <w:r>
              <w:rPr>
                <w:rStyle w:val="55"/>
                <w:rFonts w:hint="eastAsia" w:ascii="宋体" w:hAnsi="宋体" w:eastAsia="宋体" w:cs="宋体"/>
                <w:sz w:val="21"/>
                <w:szCs w:val="21"/>
                <w:lang w:val="en-US" w:eastAsia="zh-CN" w:bidi="ar"/>
              </w:rPr>
              <w:t>4.灵敏度≥96dB/W/M</w:t>
            </w:r>
            <w:r>
              <w:rPr>
                <w:rStyle w:val="55"/>
                <w:rFonts w:hint="eastAsia" w:ascii="宋体" w:hAnsi="宋体" w:eastAsia="宋体" w:cs="宋体"/>
                <w:sz w:val="21"/>
                <w:szCs w:val="21"/>
                <w:lang w:val="en-US" w:eastAsia="zh-CN" w:bidi="ar"/>
              </w:rPr>
              <w:br w:type="textWrapping"/>
            </w:r>
            <w:r>
              <w:rPr>
                <w:rStyle w:val="55"/>
                <w:rFonts w:hint="eastAsia" w:ascii="宋体" w:hAnsi="宋体" w:eastAsia="宋体" w:cs="宋体"/>
                <w:sz w:val="21"/>
                <w:szCs w:val="21"/>
                <w:lang w:val="en-US" w:eastAsia="zh-CN" w:bidi="ar"/>
              </w:rPr>
              <w:t>5.水平覆盖角≥80°，垂直覆盖角≥60°</w:t>
            </w:r>
            <w:r>
              <w:rPr>
                <w:rStyle w:val="55"/>
                <w:rFonts w:hint="eastAsia" w:ascii="宋体" w:hAnsi="宋体" w:eastAsia="宋体" w:cs="宋体"/>
                <w:sz w:val="21"/>
                <w:szCs w:val="21"/>
                <w:lang w:val="en-US" w:eastAsia="zh-CN" w:bidi="ar"/>
              </w:rPr>
              <w:br w:type="textWrapping"/>
            </w:r>
            <w:r>
              <w:rPr>
                <w:rStyle w:val="55"/>
                <w:rFonts w:hint="eastAsia" w:ascii="宋体" w:hAnsi="宋体" w:eastAsia="宋体" w:cs="宋体"/>
                <w:sz w:val="21"/>
                <w:szCs w:val="21"/>
                <w:lang w:val="en-US" w:eastAsia="zh-CN" w:bidi="ar"/>
              </w:rPr>
              <w:t>6.高音≥1.4"压缩高音单元×1</w:t>
            </w:r>
            <w:r>
              <w:rPr>
                <w:rStyle w:val="55"/>
                <w:rFonts w:hint="eastAsia" w:ascii="宋体" w:hAnsi="宋体" w:eastAsia="宋体" w:cs="宋体"/>
                <w:sz w:val="21"/>
                <w:szCs w:val="21"/>
                <w:lang w:val="en-US" w:eastAsia="zh-CN" w:bidi="ar"/>
              </w:rPr>
              <w:br w:type="textWrapping"/>
            </w:r>
            <w:r>
              <w:rPr>
                <w:rStyle w:val="55"/>
                <w:rFonts w:hint="eastAsia" w:ascii="宋体" w:hAnsi="宋体" w:eastAsia="宋体" w:cs="宋体"/>
                <w:sz w:val="21"/>
                <w:szCs w:val="21"/>
                <w:lang w:val="en-US" w:eastAsia="zh-CN" w:bidi="ar"/>
              </w:rPr>
              <w:t>7.低音≥8"低音×1</w:t>
            </w:r>
          </w:p>
        </w:tc>
        <w:tc>
          <w:tcPr>
            <w:tcW w:w="782" w:type="dxa"/>
            <w:tcBorders>
              <w:top w:val="single" w:color="auto" w:sz="4" w:space="0"/>
              <w:left w:val="single" w:color="000000" w:sz="4" w:space="0"/>
              <w:bottom w:val="single" w:color="000000" w:sz="4" w:space="0"/>
              <w:right w:val="single" w:color="000000" w:sz="4" w:space="0"/>
            </w:tcBorders>
            <w:noWrap/>
            <w:vAlign w:val="center"/>
          </w:tcPr>
          <w:p w14:paraId="75ABFA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78" w:type="dxa"/>
            <w:tcBorders>
              <w:top w:val="single" w:color="auto" w:sz="4" w:space="0"/>
              <w:left w:val="single" w:color="000000" w:sz="4" w:space="0"/>
              <w:bottom w:val="single" w:color="000000" w:sz="4" w:space="0"/>
              <w:right w:val="single" w:color="000000" w:sz="4" w:space="0"/>
            </w:tcBorders>
            <w:noWrap w:val="0"/>
            <w:vAlign w:val="center"/>
          </w:tcPr>
          <w:p w14:paraId="3948CB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r>
      <w:tr w14:paraId="04523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466" w:type="dxa"/>
            <w:tcBorders>
              <w:top w:val="single" w:color="000000" w:sz="4" w:space="0"/>
              <w:left w:val="single" w:color="000000" w:sz="4" w:space="0"/>
              <w:bottom w:val="single" w:color="000000" w:sz="4" w:space="0"/>
              <w:right w:val="single" w:color="000000" w:sz="4" w:space="0"/>
            </w:tcBorders>
            <w:noWrap/>
            <w:vAlign w:val="center"/>
          </w:tcPr>
          <w:p w14:paraId="2AE1DD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40DD12C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壁挂安装</w:t>
            </w:r>
          </w:p>
        </w:tc>
        <w:tc>
          <w:tcPr>
            <w:tcW w:w="5731" w:type="dxa"/>
            <w:tcBorders>
              <w:top w:val="single" w:color="000000" w:sz="4" w:space="0"/>
              <w:left w:val="single" w:color="000000" w:sz="4" w:space="0"/>
              <w:bottom w:val="single" w:color="000000" w:sz="4" w:space="0"/>
              <w:right w:val="single" w:color="000000" w:sz="4" w:space="0"/>
            </w:tcBorders>
            <w:noWrap w:val="0"/>
            <w:vAlign w:val="center"/>
          </w:tcPr>
          <w:p w14:paraId="1F0984A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音箱支架</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1E9A49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74BAAD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r>
      <w:tr w14:paraId="755D3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jc w:val="center"/>
        </w:trPr>
        <w:tc>
          <w:tcPr>
            <w:tcW w:w="466" w:type="dxa"/>
            <w:tcBorders>
              <w:top w:val="single" w:color="000000" w:sz="4" w:space="0"/>
              <w:left w:val="single" w:color="000000" w:sz="4" w:space="0"/>
              <w:bottom w:val="single" w:color="000000" w:sz="4" w:space="0"/>
              <w:right w:val="single" w:color="000000" w:sz="4" w:space="0"/>
            </w:tcBorders>
            <w:noWrap/>
            <w:vAlign w:val="center"/>
          </w:tcPr>
          <w:p w14:paraId="3982D5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58D2CE4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吸顶音箱</w:t>
            </w:r>
          </w:p>
        </w:tc>
        <w:tc>
          <w:tcPr>
            <w:tcW w:w="5731" w:type="dxa"/>
            <w:tcBorders>
              <w:top w:val="single" w:color="000000" w:sz="4" w:space="0"/>
              <w:left w:val="single" w:color="000000" w:sz="4" w:space="0"/>
              <w:bottom w:val="single" w:color="000000" w:sz="4" w:space="0"/>
              <w:right w:val="single" w:color="000000" w:sz="4" w:space="0"/>
            </w:tcBorders>
            <w:noWrap w:val="0"/>
            <w:vAlign w:val="center"/>
          </w:tcPr>
          <w:p w14:paraId="59EBD9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1.喇叭单元:6.5"低音+19mm(3/4")高音同轴扬声器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2.阻抗：≤16</w:t>
            </w:r>
            <w:r>
              <w:rPr>
                <w:rStyle w:val="50"/>
                <w:rFonts w:hint="eastAsia" w:ascii="宋体" w:hAnsi="宋体" w:eastAsia="宋体" w:cs="宋体"/>
                <w:sz w:val="21"/>
                <w:szCs w:val="21"/>
                <w:lang w:val="en-US" w:eastAsia="zh-CN" w:bidi="ar"/>
              </w:rPr>
              <w:t>Ω</w:t>
            </w:r>
            <w:r>
              <w:rPr>
                <w:rStyle w:val="55"/>
                <w:rFonts w:hint="eastAsia" w:ascii="宋体" w:hAnsi="宋体" w:eastAsia="宋体" w:cs="宋体"/>
                <w:sz w:val="21"/>
                <w:szCs w:val="21"/>
                <w:lang w:val="en-US" w:eastAsia="zh-CN" w:bidi="ar"/>
              </w:rPr>
              <w:br w:type="textWrapping"/>
            </w:r>
            <w:r>
              <w:rPr>
                <w:rStyle w:val="55"/>
                <w:rFonts w:hint="eastAsia" w:ascii="宋体" w:hAnsi="宋体" w:eastAsia="宋体" w:cs="宋体"/>
                <w:sz w:val="21"/>
                <w:szCs w:val="21"/>
                <w:lang w:val="en-US" w:eastAsia="zh-CN" w:bidi="ar"/>
              </w:rPr>
              <w:t>3.频率响应等同或优于100Hzto20kHz@-10dB</w:t>
            </w:r>
            <w:r>
              <w:rPr>
                <w:rStyle w:val="55"/>
                <w:rFonts w:hint="eastAsia" w:ascii="宋体" w:hAnsi="宋体" w:eastAsia="宋体" w:cs="宋体"/>
                <w:sz w:val="21"/>
                <w:szCs w:val="21"/>
                <w:lang w:val="en-US" w:eastAsia="zh-CN" w:bidi="ar"/>
              </w:rPr>
              <w:br w:type="textWrapping"/>
            </w:r>
            <w:r>
              <w:rPr>
                <w:rStyle w:val="55"/>
                <w:rFonts w:hint="eastAsia" w:ascii="宋体" w:hAnsi="宋体" w:eastAsia="宋体" w:cs="宋体"/>
                <w:sz w:val="21"/>
                <w:szCs w:val="21"/>
                <w:lang w:val="en-US" w:eastAsia="zh-CN" w:bidi="ar"/>
              </w:rPr>
              <w:t>4.最大声压级：≥106dB±3dB</w:t>
            </w:r>
            <w:r>
              <w:rPr>
                <w:rStyle w:val="55"/>
                <w:rFonts w:hint="eastAsia" w:ascii="宋体" w:hAnsi="宋体" w:eastAsia="宋体" w:cs="宋体"/>
                <w:sz w:val="21"/>
                <w:szCs w:val="21"/>
                <w:lang w:val="en-US" w:eastAsia="zh-CN" w:bidi="ar"/>
              </w:rPr>
              <w:br w:type="textWrapping"/>
            </w:r>
            <w:r>
              <w:rPr>
                <w:rStyle w:val="55"/>
                <w:rFonts w:hint="eastAsia" w:ascii="宋体" w:hAnsi="宋体" w:eastAsia="宋体" w:cs="宋体"/>
                <w:sz w:val="21"/>
                <w:szCs w:val="21"/>
                <w:lang w:val="en-US" w:eastAsia="zh-CN" w:bidi="ar"/>
              </w:rPr>
              <w:t>5.灵敏度：≥88dB±3dB</w:t>
            </w:r>
            <w:r>
              <w:rPr>
                <w:rStyle w:val="55"/>
                <w:rFonts w:hint="eastAsia" w:ascii="宋体" w:hAnsi="宋体" w:eastAsia="宋体" w:cs="宋体"/>
                <w:sz w:val="21"/>
                <w:szCs w:val="21"/>
                <w:lang w:val="en-US" w:eastAsia="zh-CN" w:bidi="ar"/>
              </w:rPr>
              <w:br w:type="textWrapping"/>
            </w:r>
            <w:r>
              <w:rPr>
                <w:rStyle w:val="55"/>
                <w:rFonts w:hint="eastAsia" w:ascii="宋体" w:hAnsi="宋体" w:eastAsia="宋体" w:cs="宋体"/>
                <w:sz w:val="21"/>
                <w:szCs w:val="21"/>
                <w:lang w:val="en-US" w:eastAsia="zh-CN" w:bidi="ar"/>
              </w:rPr>
              <w:t>6.额定功率≥60W</w:t>
            </w:r>
            <w:r>
              <w:rPr>
                <w:rStyle w:val="55"/>
                <w:rFonts w:hint="eastAsia" w:ascii="宋体" w:hAnsi="宋体" w:eastAsia="宋体" w:cs="宋体"/>
                <w:sz w:val="21"/>
                <w:szCs w:val="21"/>
                <w:lang w:val="en-US" w:eastAsia="zh-CN" w:bidi="ar"/>
              </w:rPr>
              <w:br w:type="textWrapping"/>
            </w:r>
            <w:r>
              <w:rPr>
                <w:rStyle w:val="55"/>
                <w:rFonts w:hint="eastAsia" w:ascii="宋体" w:hAnsi="宋体" w:eastAsia="宋体" w:cs="宋体"/>
                <w:sz w:val="21"/>
                <w:szCs w:val="21"/>
                <w:lang w:val="en-US" w:eastAsia="zh-CN" w:bidi="ar"/>
              </w:rPr>
              <w:t>7.最大功率≥120W</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3E32A7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720447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r>
      <w:tr w14:paraId="7873B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3" w:hRule="atLeast"/>
          <w:jc w:val="center"/>
        </w:trPr>
        <w:tc>
          <w:tcPr>
            <w:tcW w:w="466" w:type="dxa"/>
            <w:tcBorders>
              <w:top w:val="single" w:color="000000" w:sz="4" w:space="0"/>
              <w:left w:val="single" w:color="000000" w:sz="4" w:space="0"/>
              <w:bottom w:val="single" w:color="000000" w:sz="4" w:space="0"/>
              <w:right w:val="single" w:color="000000" w:sz="4" w:space="0"/>
            </w:tcBorders>
            <w:noWrap/>
            <w:vAlign w:val="center"/>
          </w:tcPr>
          <w:p w14:paraId="23C774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738609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主音箱功放</w:t>
            </w:r>
          </w:p>
        </w:tc>
        <w:tc>
          <w:tcPr>
            <w:tcW w:w="5731" w:type="dxa"/>
            <w:tcBorders>
              <w:top w:val="single" w:color="000000" w:sz="4" w:space="0"/>
              <w:left w:val="single" w:color="000000" w:sz="4" w:space="0"/>
              <w:bottom w:val="single" w:color="000000" w:sz="4" w:space="0"/>
              <w:right w:val="single" w:color="000000" w:sz="4" w:space="0"/>
            </w:tcBorders>
            <w:noWrap w:val="0"/>
            <w:vAlign w:val="center"/>
          </w:tcPr>
          <w:p w14:paraId="6295CF7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1.标准≤1U机箱设计，采用D类数字功放设计方案。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2.标准XLR输入接口，和LINK输出口。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3.电源采用开关电源技术，效率高，有效的抑制电源谐波。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4.内置智能削峰限幅器，支持开机软启动，防止开机时向电网吸收大电流，干扰其它用电设备。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5.具有：过压保护，欠压保护，过流保护，直流保护，输出短路保护，温控风扇等功能。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6.输出功率：立体声@8</w:t>
            </w:r>
            <w:r>
              <w:rPr>
                <w:rStyle w:val="50"/>
                <w:rFonts w:hint="eastAsia" w:ascii="宋体" w:hAnsi="宋体" w:eastAsia="宋体" w:cs="宋体"/>
                <w:sz w:val="21"/>
                <w:szCs w:val="21"/>
                <w:lang w:val="en-US" w:eastAsia="zh-CN" w:bidi="ar"/>
              </w:rPr>
              <w:t>Ω</w:t>
            </w:r>
            <w:r>
              <w:rPr>
                <w:rStyle w:val="55"/>
                <w:rFonts w:hint="eastAsia" w:ascii="宋体" w:hAnsi="宋体" w:eastAsia="宋体" w:cs="宋体"/>
                <w:sz w:val="21"/>
                <w:szCs w:val="21"/>
                <w:lang w:val="en-US" w:eastAsia="zh-CN" w:bidi="ar"/>
              </w:rPr>
              <w:t>：≥350W×2；立体声@4</w:t>
            </w:r>
            <w:r>
              <w:rPr>
                <w:rStyle w:val="50"/>
                <w:rFonts w:hint="eastAsia" w:ascii="宋体" w:hAnsi="宋体" w:eastAsia="宋体" w:cs="宋体"/>
                <w:sz w:val="21"/>
                <w:szCs w:val="21"/>
                <w:lang w:val="en-US" w:eastAsia="zh-CN" w:bidi="ar"/>
              </w:rPr>
              <w:t>Ω</w:t>
            </w:r>
            <w:r>
              <w:rPr>
                <w:rStyle w:val="55"/>
                <w:rFonts w:hint="eastAsia" w:ascii="宋体" w:hAnsi="宋体" w:eastAsia="宋体" w:cs="宋体"/>
                <w:sz w:val="21"/>
                <w:szCs w:val="21"/>
                <w:lang w:val="en-US" w:eastAsia="zh-CN" w:bidi="ar"/>
              </w:rPr>
              <w:t>：≥600W×2。</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1A7822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06F19C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2EE5B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3" w:hRule="atLeast"/>
          <w:jc w:val="center"/>
        </w:trPr>
        <w:tc>
          <w:tcPr>
            <w:tcW w:w="466" w:type="dxa"/>
            <w:tcBorders>
              <w:top w:val="single" w:color="000000" w:sz="4" w:space="0"/>
              <w:left w:val="single" w:color="000000" w:sz="4" w:space="0"/>
              <w:bottom w:val="single" w:color="000000" w:sz="4" w:space="0"/>
              <w:right w:val="single" w:color="000000" w:sz="4" w:space="0"/>
            </w:tcBorders>
            <w:noWrap/>
            <w:vAlign w:val="center"/>
          </w:tcPr>
          <w:p w14:paraId="4F0A29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5E5DB6B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吸顶音箱功放</w:t>
            </w:r>
          </w:p>
        </w:tc>
        <w:tc>
          <w:tcPr>
            <w:tcW w:w="5731" w:type="dxa"/>
            <w:tcBorders>
              <w:top w:val="single" w:color="000000" w:sz="4" w:space="0"/>
              <w:left w:val="single" w:color="000000" w:sz="4" w:space="0"/>
              <w:bottom w:val="single" w:color="000000" w:sz="4" w:space="0"/>
              <w:right w:val="single" w:color="000000" w:sz="4" w:space="0"/>
            </w:tcBorders>
            <w:noWrap w:val="0"/>
            <w:vAlign w:val="center"/>
          </w:tcPr>
          <w:p w14:paraId="2EACC46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1.采用高效功率放大电路，输出可桥接8欧。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2.电源采用开关电源供电，具有过压保护功能。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3.功放具有压限，过温保护，过流保护，输出直流保护，输出短路保护等功能。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4.支持XLR平衡式输入，SPEAKON音响插座输出。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5.MONO /STEREO/BRIDGE三种模式可选择切换。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6.常规带载8</w:t>
            </w:r>
            <w:r>
              <w:rPr>
                <w:rStyle w:val="50"/>
                <w:rFonts w:hint="eastAsia" w:ascii="宋体" w:hAnsi="宋体" w:eastAsia="宋体" w:cs="宋体"/>
                <w:sz w:val="21"/>
                <w:szCs w:val="21"/>
                <w:lang w:val="en-US" w:eastAsia="zh-CN" w:bidi="ar"/>
              </w:rPr>
              <w:t>Ω</w:t>
            </w:r>
            <w:r>
              <w:rPr>
                <w:rStyle w:val="55"/>
                <w:rFonts w:hint="eastAsia" w:ascii="宋体" w:hAnsi="宋体" w:eastAsia="宋体" w:cs="宋体"/>
                <w:sz w:val="21"/>
                <w:szCs w:val="21"/>
                <w:lang w:val="en-US" w:eastAsia="zh-CN" w:bidi="ar"/>
              </w:rPr>
              <w:t>，最低带载4</w:t>
            </w:r>
            <w:r>
              <w:rPr>
                <w:rStyle w:val="50"/>
                <w:rFonts w:hint="eastAsia" w:ascii="宋体" w:hAnsi="宋体" w:eastAsia="宋体" w:cs="宋体"/>
                <w:sz w:val="21"/>
                <w:szCs w:val="21"/>
                <w:lang w:val="en-US" w:eastAsia="zh-CN" w:bidi="ar"/>
              </w:rPr>
              <w:t>Ω</w:t>
            </w:r>
            <w:r>
              <w:rPr>
                <w:rStyle w:val="55"/>
                <w:rFonts w:hint="eastAsia" w:ascii="宋体" w:hAnsi="宋体" w:eastAsia="宋体" w:cs="宋体"/>
                <w:sz w:val="21"/>
                <w:szCs w:val="21"/>
                <w:lang w:val="en-US" w:eastAsia="zh-CN" w:bidi="ar"/>
              </w:rPr>
              <w:t>。</w:t>
            </w:r>
            <w:r>
              <w:rPr>
                <w:rStyle w:val="55"/>
                <w:rFonts w:hint="eastAsia" w:ascii="宋体" w:hAnsi="宋体" w:eastAsia="宋体" w:cs="宋体"/>
                <w:sz w:val="21"/>
                <w:szCs w:val="21"/>
                <w:lang w:val="en-US" w:eastAsia="zh-CN" w:bidi="ar"/>
              </w:rPr>
              <w:br w:type="textWrapping"/>
            </w:r>
            <w:r>
              <w:rPr>
                <w:rStyle w:val="55"/>
                <w:rFonts w:hint="eastAsia" w:ascii="宋体" w:hAnsi="宋体" w:eastAsia="宋体" w:cs="宋体"/>
                <w:sz w:val="21"/>
                <w:szCs w:val="21"/>
                <w:lang w:val="en-US" w:eastAsia="zh-CN" w:bidi="ar"/>
              </w:rPr>
              <w:t>7.输出功率：立体声8</w:t>
            </w:r>
            <w:r>
              <w:rPr>
                <w:rStyle w:val="50"/>
                <w:rFonts w:hint="eastAsia" w:ascii="宋体" w:hAnsi="宋体" w:eastAsia="宋体" w:cs="宋体"/>
                <w:sz w:val="21"/>
                <w:szCs w:val="21"/>
                <w:lang w:val="en-US" w:eastAsia="zh-CN" w:bidi="ar"/>
              </w:rPr>
              <w:t>Ω</w:t>
            </w:r>
            <w:r>
              <w:rPr>
                <w:rStyle w:val="55"/>
                <w:rFonts w:hint="eastAsia" w:ascii="宋体" w:hAnsi="宋体" w:eastAsia="宋体" w:cs="宋体"/>
                <w:sz w:val="21"/>
                <w:szCs w:val="21"/>
                <w:lang w:val="en-US" w:eastAsia="zh-CN" w:bidi="ar"/>
              </w:rPr>
              <w:t xml:space="preserve"> ：≥200W×4；立体声4</w:t>
            </w:r>
            <w:r>
              <w:rPr>
                <w:rStyle w:val="50"/>
                <w:rFonts w:hint="eastAsia" w:ascii="宋体" w:hAnsi="宋体" w:eastAsia="宋体" w:cs="宋体"/>
                <w:sz w:val="21"/>
                <w:szCs w:val="21"/>
                <w:lang w:val="en-US" w:eastAsia="zh-CN" w:bidi="ar"/>
              </w:rPr>
              <w:t>Ω</w:t>
            </w:r>
            <w:r>
              <w:rPr>
                <w:rStyle w:val="55"/>
                <w:rFonts w:hint="eastAsia" w:ascii="宋体" w:hAnsi="宋体" w:eastAsia="宋体" w:cs="宋体"/>
                <w:sz w:val="21"/>
                <w:szCs w:val="21"/>
                <w:lang w:val="en-US" w:eastAsia="zh-CN" w:bidi="ar"/>
              </w:rPr>
              <w:t>：≥380W×4；桥接8</w:t>
            </w:r>
            <w:r>
              <w:rPr>
                <w:rStyle w:val="50"/>
                <w:rFonts w:hint="eastAsia" w:ascii="宋体" w:hAnsi="宋体" w:eastAsia="宋体" w:cs="宋体"/>
                <w:sz w:val="21"/>
                <w:szCs w:val="21"/>
                <w:lang w:val="en-US" w:eastAsia="zh-CN" w:bidi="ar"/>
              </w:rPr>
              <w:t>Ω</w:t>
            </w:r>
            <w:r>
              <w:rPr>
                <w:rStyle w:val="55"/>
                <w:rFonts w:hint="eastAsia" w:ascii="宋体" w:hAnsi="宋体" w:eastAsia="宋体" w:cs="宋体"/>
                <w:sz w:val="21"/>
                <w:szCs w:val="21"/>
                <w:lang w:val="en-US" w:eastAsia="zh-CN" w:bidi="ar"/>
              </w:rPr>
              <w:t>：≥760W×2</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405B3B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3587A2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67A82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7" w:hRule="atLeast"/>
          <w:jc w:val="center"/>
        </w:trPr>
        <w:tc>
          <w:tcPr>
            <w:tcW w:w="466" w:type="dxa"/>
            <w:tcBorders>
              <w:top w:val="single" w:color="000000" w:sz="4" w:space="0"/>
              <w:left w:val="single" w:color="000000" w:sz="4" w:space="0"/>
              <w:bottom w:val="single" w:color="000000" w:sz="4" w:space="0"/>
              <w:right w:val="single" w:color="000000" w:sz="4" w:space="0"/>
            </w:tcBorders>
            <w:noWrap/>
            <w:vAlign w:val="center"/>
          </w:tcPr>
          <w:p w14:paraId="4FBAAB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7AB591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YPCLR智享音频处理器VN.XH52378</w:t>
            </w:r>
          </w:p>
        </w:tc>
        <w:tc>
          <w:tcPr>
            <w:tcW w:w="5731" w:type="dxa"/>
            <w:tcBorders>
              <w:top w:val="single" w:color="000000" w:sz="4" w:space="0"/>
              <w:left w:val="single" w:color="000000" w:sz="4" w:space="0"/>
              <w:bottom w:val="single" w:color="000000" w:sz="4" w:space="0"/>
              <w:right w:val="single" w:color="000000" w:sz="4" w:space="0"/>
            </w:tcBorders>
            <w:noWrap w:val="0"/>
            <w:vAlign w:val="center"/>
          </w:tcPr>
          <w:p w14:paraId="08FF9F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输入通道支持前级放大、信号发生器、扩展器、压缩器、均衡器（≥12段参量均衡、可选10/15/31段图示均衡器可调，图示均衡器可用于单独调节带宽）、闪避器、AGC自动增益、AM自动混音功能（门限式、增益共享式）、AFC自适应反馈消除、AEC回声消除、ANC噪声消除、音频矩阵；输出通道支持均衡器（≥16段参量均衡、可选10/15/31段图示均衡器可调，图示均衡器可用于单独调节带宽）、延时器、分频器、高低通滤波器、限幅器；基于啸叫检测门限更新法，具有移频+陷波组合反馈抑制，可以使用≥24个可编程陷波点，可自由分配动态/静态点，自动/手动切换。（提供功能截图佐证）</w:t>
            </w:r>
          </w:p>
          <w:p w14:paraId="6D280DC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采用AI人工智能宽度学习算法进行噪声抑制，根据不同使用场景提供≥三个AI语音降噪档位可调整，有效降低甚至消除语言扩声系统中非人声类噪音信号，如拍掌、敲击桌子等非稳态噪声以及空调声、风扇声等稳态噪声，确保语音清晰度和可懂度（降噪能力≥40dB）。</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324123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7C92CE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3F209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466" w:type="dxa"/>
            <w:tcBorders>
              <w:top w:val="single" w:color="000000" w:sz="4" w:space="0"/>
              <w:left w:val="single" w:color="000000" w:sz="4" w:space="0"/>
              <w:bottom w:val="single" w:color="000000" w:sz="4" w:space="0"/>
              <w:right w:val="single" w:color="000000" w:sz="4" w:space="0"/>
            </w:tcBorders>
            <w:noWrap/>
            <w:vAlign w:val="center"/>
          </w:tcPr>
          <w:p w14:paraId="0443FF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181021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抑制器</w:t>
            </w:r>
          </w:p>
        </w:tc>
        <w:tc>
          <w:tcPr>
            <w:tcW w:w="5731" w:type="dxa"/>
            <w:tcBorders>
              <w:top w:val="single" w:color="000000" w:sz="4" w:space="0"/>
              <w:left w:val="single" w:color="000000" w:sz="4" w:space="0"/>
              <w:bottom w:val="single" w:color="000000" w:sz="4" w:space="0"/>
              <w:right w:val="single" w:color="000000" w:sz="4" w:space="0"/>
            </w:tcBorders>
            <w:noWrap w:val="0"/>
            <w:vAlign w:val="center"/>
          </w:tcPr>
          <w:p w14:paraId="5A48530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前面板具有≥48个LED灯陷波状态指示灯（具有≥2×12个静态点和≥2×12个动态点）、≥2英寸IPS真彩显示屏、≥1个编码旋钮；后面板具有≥1个船形开关、≥2路XLR母座+2路TRS母座模拟输入、≥2路XLR公座+2路TRS母座模拟输出、≥1个RJ45接口。（提供设备接口图佐证）</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534336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444EA9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44725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jc w:val="center"/>
        </w:trPr>
        <w:tc>
          <w:tcPr>
            <w:tcW w:w="466" w:type="dxa"/>
            <w:tcBorders>
              <w:top w:val="single" w:color="000000" w:sz="4" w:space="0"/>
              <w:left w:val="single" w:color="000000" w:sz="4" w:space="0"/>
              <w:bottom w:val="single" w:color="000000" w:sz="4" w:space="0"/>
              <w:right w:val="single" w:color="000000" w:sz="4" w:space="0"/>
            </w:tcBorders>
            <w:noWrap/>
            <w:vAlign w:val="center"/>
          </w:tcPr>
          <w:p w14:paraId="308D30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0938904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调音台</w:t>
            </w:r>
          </w:p>
        </w:tc>
        <w:tc>
          <w:tcPr>
            <w:tcW w:w="5731" w:type="dxa"/>
            <w:tcBorders>
              <w:top w:val="single" w:color="000000" w:sz="4" w:space="0"/>
              <w:left w:val="single" w:color="000000" w:sz="4" w:space="0"/>
              <w:bottom w:val="single" w:color="000000" w:sz="4" w:space="0"/>
              <w:right w:val="single" w:color="000000" w:sz="4" w:space="0"/>
            </w:tcBorders>
            <w:noWrap w:val="0"/>
            <w:vAlign w:val="center"/>
          </w:tcPr>
          <w:p w14:paraId="363DD1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1.支持≥10路MIC输入兼容8路线路输入接口，支持≥2组立体声输入接口，≥4路RCA输入，话筒接口幻象电源：+48V。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2.具有≥2组立体声输出、≥4路编组输出、≥4路辅助输出、≥1个耳机监听输出、≥1个接口双路效果输出、≥1组控制室输出、≥1组主混音断点插入、≥8个断点插入。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3.内置≥24位DSP效果器，提供≥100种预设效果。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4.具备≥15个60mm行程的高精密碳膜推子。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5.内置USB声卡模块，支持连接电脑进行音乐播放和声音录音；内置MP3播放器，支持≥1个USB接口接U盘播放音乐。</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22F3C6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14BC7C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5573B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466" w:type="dxa"/>
            <w:tcBorders>
              <w:top w:val="single" w:color="000000" w:sz="4" w:space="0"/>
              <w:left w:val="single" w:color="000000" w:sz="4" w:space="0"/>
              <w:bottom w:val="single" w:color="000000" w:sz="4" w:space="0"/>
              <w:right w:val="single" w:color="000000" w:sz="4" w:space="0"/>
            </w:tcBorders>
            <w:noWrap/>
            <w:vAlign w:val="center"/>
          </w:tcPr>
          <w:p w14:paraId="63D4A2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7461A09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话筒天线</w:t>
            </w:r>
          </w:p>
        </w:tc>
        <w:tc>
          <w:tcPr>
            <w:tcW w:w="5731" w:type="dxa"/>
            <w:tcBorders>
              <w:top w:val="single" w:color="000000" w:sz="4" w:space="0"/>
              <w:left w:val="single" w:color="000000" w:sz="4" w:space="0"/>
              <w:bottom w:val="single" w:color="000000" w:sz="4" w:space="0"/>
              <w:right w:val="single" w:color="000000" w:sz="4" w:space="0"/>
            </w:tcBorders>
            <w:noWrap w:val="0"/>
            <w:vAlign w:val="center"/>
          </w:tcPr>
          <w:p w14:paraId="6E8E17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1.采用吸顶安装，射频频率范围等同或宽于470MHz～950MHz；具有≥五档位（0dB/3dB/6dB/12dB/15dB)增益设置。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2.驻波比：≤2.0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3.输入阻抗：≤50</w:t>
            </w:r>
            <w:r>
              <w:rPr>
                <w:rStyle w:val="119"/>
                <w:rFonts w:hint="eastAsia" w:ascii="宋体" w:hAnsi="宋体" w:eastAsia="宋体" w:cs="宋体"/>
                <w:sz w:val="21"/>
                <w:szCs w:val="21"/>
                <w:lang w:val="en-US" w:eastAsia="zh-CN" w:bidi="ar"/>
              </w:rPr>
              <w:t>Ω</w:t>
            </w:r>
            <w:r>
              <w:rPr>
                <w:rStyle w:val="49"/>
                <w:rFonts w:hint="eastAsia" w:ascii="宋体" w:hAnsi="宋体" w:eastAsia="宋体" w:cs="宋体"/>
                <w:sz w:val="21"/>
                <w:szCs w:val="21"/>
                <w:lang w:val="en-US" w:eastAsia="zh-CN" w:bidi="ar"/>
              </w:rPr>
              <w:br w:type="textWrapping"/>
            </w:r>
            <w:r>
              <w:rPr>
                <w:rStyle w:val="49"/>
                <w:rFonts w:hint="eastAsia" w:ascii="宋体" w:hAnsi="宋体" w:eastAsia="宋体" w:cs="宋体"/>
                <w:sz w:val="21"/>
                <w:szCs w:val="21"/>
                <w:lang w:val="en-US" w:eastAsia="zh-CN" w:bidi="ar"/>
              </w:rPr>
              <w:t>4.指向性（水平）：≥120°</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35E63E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558EC0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1290C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CC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FC0E8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天线耦合器</w:t>
            </w:r>
          </w:p>
        </w:tc>
        <w:tc>
          <w:tcPr>
            <w:tcW w:w="57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F47F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1.宽带设计，在应用频率范围内提供高隔离度，防止信号相互干扰。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2.在系统中，通过此耦合器方便转接和安装。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3.可使用多组耦合器进行拓展覆盖区域。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4.耦合器在线路中有隔离杂讯的功能，防止自激。</w:t>
            </w:r>
          </w:p>
        </w:tc>
        <w:tc>
          <w:tcPr>
            <w:tcW w:w="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48A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F20A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6417C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3"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FF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1B638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天线分配器</w:t>
            </w:r>
          </w:p>
        </w:tc>
        <w:tc>
          <w:tcPr>
            <w:tcW w:w="57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C1ED3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1.具备≥2个天线输入接口，支持接收天线信号，实现分配多路射频信号的效果。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2.具备放大射频信号，补偿因信号功率被分配至多个输出而造成的插入损耗。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3.具备≥2个天线级联接口，支持无限制级联分配器，可实现扩展无线话筒的目的。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4.具备≥4个直流电源输出接口，支持给≥4台接收机供电，减少适配器数量和免去繁琐布线。</w:t>
            </w:r>
          </w:p>
        </w:tc>
        <w:tc>
          <w:tcPr>
            <w:tcW w:w="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4F0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C23F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2562F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0E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7C54E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一拖二无线手持话筒（含软件）</w:t>
            </w:r>
          </w:p>
        </w:tc>
        <w:tc>
          <w:tcPr>
            <w:tcW w:w="57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902C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.具有自动静音功能，麦克风跌落、抛掷时，毫秒级自动静音，避免冲击声；实时监测设备姿态，静置≥5秒静音，≥8分钟关机，无需手动干预。</w:t>
            </w:r>
          </w:p>
        </w:tc>
        <w:tc>
          <w:tcPr>
            <w:tcW w:w="7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F444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DACF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4C745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CB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A993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一拖二无线领夹话筒（含软件）</w:t>
            </w:r>
          </w:p>
        </w:tc>
        <w:tc>
          <w:tcPr>
            <w:tcW w:w="57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F0FD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.具有多档位混响调节功能，混响效果≥15625个，效果占比、回响延时、混响幅度调节，三种音效各具有≥25档调节方式。</w:t>
            </w:r>
          </w:p>
        </w:tc>
        <w:tc>
          <w:tcPr>
            <w:tcW w:w="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6E2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693F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15B04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3"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3BE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702DD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一拖八无线短咪杆话筒（含软件）</w:t>
            </w:r>
          </w:p>
        </w:tc>
        <w:tc>
          <w:tcPr>
            <w:tcW w:w="57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BB8E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.接收机前面板具有≥8个LCD 显示屏、≥8个编码旋钮、≥8个频率扫描实体按键、≥8个红外对频实体按键、≥1个电源开关按键、≥1个二合一指示灯（红外发射管+对频指示灯）；后面板具有≥2个LINE-OUT接口、≥8个XLR-OUT接口、≥8个BNC接口、≥1个DC接口。桌面式发射机具有≥1个TYPE-C 充电口、≥1个3.5mm耳麦输入接口、≥1个OLED显示屏、≥1个电源开关按键，≥1个触摸开关麦按键。</w:t>
            </w:r>
          </w:p>
        </w:tc>
        <w:tc>
          <w:tcPr>
            <w:tcW w:w="7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AE9B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F56A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7C87F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3"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53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38395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电源管理器</w:t>
            </w:r>
          </w:p>
        </w:tc>
        <w:tc>
          <w:tcPr>
            <w:tcW w:w="57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AFFC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1.支持≥8通道电源时序打开/关闭，每路动作延时时间：≤1秒，支持远程控制（上电+24V直流信号）8通道电源时序打开/关闭—当电源开关处于off位置时有效。支持配置CH1和CH2通道为受控或不受控状态。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2.当远程控制有效时同时控制后板ALARM（报警）端口导通以起到级联控制ALARM（报警）功能。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3.单个通道最大负载功率≥2200W，所有通道负载总功率≥6000W。输出连接器：多用途电源插座。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4.具有≥1路USB接口。</w:t>
            </w:r>
          </w:p>
        </w:tc>
        <w:tc>
          <w:tcPr>
            <w:tcW w:w="7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EF19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B1AE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0827B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8997"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B7BD2">
            <w:pPr>
              <w:snapToGrid w:val="0"/>
              <w:ind w:left="0" w:leftChars="0" w:right="0" w:rightChars="0" w:firstLine="0" w:firstLineChars="0"/>
              <w:jc w:val="left"/>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B、远程视频会议</w:t>
            </w:r>
          </w:p>
        </w:tc>
      </w:tr>
      <w:tr w14:paraId="22579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1"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CED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3A94C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摄像机（含软件）</w:t>
            </w:r>
          </w:p>
        </w:tc>
        <w:tc>
          <w:tcPr>
            <w:tcW w:w="57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A152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1.高清摄像机具备≥20倍光学变倍镜头，并支持≥16倍数字变焦；采用1/2.8英寸、≥207万有效像素的高品质HD CMOS传感器。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2.镜头焦距f4.42mm ~ 88.5mm, 光圈系数F1.8 ~ F2.8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3.支持1080P60，1080P59.94，1080P50，1080I60，1080I59.94，1080I50，1080P30，1080P29.97，1080P25，720P60，720P59.94，720P50分辨率，支持输出帧率≥60帧/秒。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4.支持HDMI、SDI、USB、网络四路视频同时输出。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5.支持RS232和RS485串口，可对摄像机进行控制；支持预置位数量≥255个，预置位精度：≤0.1°。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6.水平视场角：60.7°～3.36°；支持水平转动范围：-170°～+170°，垂直转动范围：-30°～+90°，水平转动速度范围：水平：1.7° ~ 100°/s，俯仰：1.7° ~ 69.9°/s。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7.支持先进的2D、3D降噪技术。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8.内置AI技术和行人重识别技术，实现自动识别目标人形并跟踪、自动框选功能。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9.支持AAC音频编码，音质更佳，带宽占用更小。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10.支持PoE供电。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11.具备≥1路HDMI输出接口、≥1路3G-SDI输出接口、≥1路USB3.0输出接口，具备≥1路3.5mm音频输入接口和≥1路3.5mm音频输出接口。</w:t>
            </w:r>
          </w:p>
        </w:tc>
        <w:tc>
          <w:tcPr>
            <w:tcW w:w="7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753A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4B34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595B8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37D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F8FAE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支架</w:t>
            </w:r>
          </w:p>
        </w:tc>
        <w:tc>
          <w:tcPr>
            <w:tcW w:w="57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09EAD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尺寸：164.3mm × 141.5mm × 12.4mm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重量：0.45kg</w:t>
            </w:r>
          </w:p>
        </w:tc>
        <w:tc>
          <w:tcPr>
            <w:tcW w:w="7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B107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B5C4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303EA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442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2639A47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视频采集卡</w:t>
            </w:r>
          </w:p>
        </w:tc>
        <w:tc>
          <w:tcPr>
            <w:tcW w:w="5731" w:type="dxa"/>
            <w:tcBorders>
              <w:top w:val="single" w:color="000000" w:sz="4" w:space="0"/>
              <w:left w:val="single" w:color="000000" w:sz="4" w:space="0"/>
              <w:bottom w:val="single" w:color="000000" w:sz="4" w:space="0"/>
              <w:right w:val="single" w:color="000000" w:sz="4" w:space="0"/>
            </w:tcBorders>
            <w:noWrap w:val="0"/>
            <w:vAlign w:val="center"/>
          </w:tcPr>
          <w:p w14:paraId="448C5B6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HDMI转USB</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1A016B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69AFC0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r>
      <w:tr w14:paraId="23BA2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466"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2F32C1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40" w:type="dxa"/>
            <w:tcBorders>
              <w:top w:val="single" w:color="000000" w:sz="4" w:space="0"/>
              <w:left w:val="single" w:color="000000" w:sz="4" w:space="0"/>
              <w:bottom w:val="single" w:color="auto" w:sz="4" w:space="0"/>
              <w:right w:val="single" w:color="000000" w:sz="4" w:space="0"/>
            </w:tcBorders>
            <w:noWrap w:val="0"/>
            <w:vAlign w:val="center"/>
          </w:tcPr>
          <w:p w14:paraId="136F420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3.5音频分离</w:t>
            </w:r>
          </w:p>
        </w:tc>
        <w:tc>
          <w:tcPr>
            <w:tcW w:w="5731" w:type="dxa"/>
            <w:tcBorders>
              <w:top w:val="single" w:color="000000" w:sz="4" w:space="0"/>
              <w:left w:val="single" w:color="000000" w:sz="4" w:space="0"/>
              <w:bottom w:val="single" w:color="auto" w:sz="4" w:space="0"/>
              <w:right w:val="single" w:color="000000" w:sz="4" w:space="0"/>
            </w:tcBorders>
            <w:noWrap w:val="0"/>
            <w:vAlign w:val="center"/>
          </w:tcPr>
          <w:p w14:paraId="210C2CE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笔记本3.5音频输入输出分离</w:t>
            </w:r>
          </w:p>
        </w:tc>
        <w:tc>
          <w:tcPr>
            <w:tcW w:w="782" w:type="dxa"/>
            <w:tcBorders>
              <w:top w:val="single" w:color="000000" w:sz="4" w:space="0"/>
              <w:left w:val="single" w:color="000000" w:sz="4" w:space="0"/>
              <w:bottom w:val="single" w:color="auto" w:sz="4" w:space="0"/>
              <w:right w:val="single" w:color="000000" w:sz="4" w:space="0"/>
            </w:tcBorders>
            <w:noWrap w:val="0"/>
            <w:vAlign w:val="center"/>
          </w:tcPr>
          <w:p w14:paraId="4B3749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78" w:type="dxa"/>
            <w:tcBorders>
              <w:top w:val="single" w:color="000000" w:sz="4" w:space="0"/>
              <w:left w:val="single" w:color="000000" w:sz="4" w:space="0"/>
              <w:bottom w:val="single" w:color="auto" w:sz="4" w:space="0"/>
              <w:right w:val="single" w:color="000000" w:sz="4" w:space="0"/>
            </w:tcBorders>
            <w:noWrap w:val="0"/>
            <w:vAlign w:val="center"/>
          </w:tcPr>
          <w:p w14:paraId="35F91E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r>
      <w:tr w14:paraId="71DA2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8997" w:type="dxa"/>
            <w:gridSpan w:val="5"/>
            <w:tcBorders>
              <w:top w:val="single" w:color="auto" w:sz="4" w:space="0"/>
              <w:left w:val="single" w:color="auto" w:sz="4" w:space="0"/>
              <w:bottom w:val="single" w:color="auto" w:sz="4" w:space="0"/>
              <w:right w:val="single" w:color="auto" w:sz="4" w:space="0"/>
            </w:tcBorders>
            <w:noWrap/>
            <w:vAlign w:val="center"/>
          </w:tcPr>
          <w:p w14:paraId="60F78229">
            <w:pPr>
              <w:snapToGrid w:val="0"/>
              <w:ind w:left="0" w:leftChars="0" w:right="0" w:rightChars="0" w:firstLine="0" w:firstLineChars="0"/>
              <w:jc w:val="left"/>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C、辅助材料</w:t>
            </w:r>
          </w:p>
        </w:tc>
      </w:tr>
      <w:tr w14:paraId="58EAA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466" w:type="dxa"/>
            <w:tcBorders>
              <w:top w:val="single" w:color="auto" w:sz="4" w:space="0"/>
              <w:left w:val="single" w:color="000000" w:sz="4" w:space="0"/>
              <w:bottom w:val="single" w:color="000000" w:sz="4" w:space="0"/>
              <w:right w:val="single" w:color="000000" w:sz="4" w:space="0"/>
            </w:tcBorders>
            <w:noWrap/>
            <w:vAlign w:val="center"/>
          </w:tcPr>
          <w:p w14:paraId="1B6DF8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40" w:type="dxa"/>
            <w:tcBorders>
              <w:top w:val="single" w:color="auto" w:sz="4" w:space="0"/>
              <w:left w:val="single" w:color="000000" w:sz="4" w:space="0"/>
              <w:bottom w:val="single" w:color="000000" w:sz="4" w:space="0"/>
              <w:right w:val="single" w:color="000000" w:sz="4" w:space="0"/>
            </w:tcBorders>
            <w:noWrap w:val="0"/>
            <w:vAlign w:val="center"/>
          </w:tcPr>
          <w:p w14:paraId="011730F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天线延长线</w:t>
            </w:r>
          </w:p>
        </w:tc>
        <w:tc>
          <w:tcPr>
            <w:tcW w:w="5731" w:type="dxa"/>
            <w:tcBorders>
              <w:top w:val="single" w:color="auto" w:sz="4" w:space="0"/>
              <w:left w:val="single" w:color="000000" w:sz="4" w:space="0"/>
              <w:bottom w:val="single" w:color="000000" w:sz="4" w:space="0"/>
              <w:right w:val="single" w:color="000000" w:sz="4" w:space="0"/>
            </w:tcBorders>
            <w:noWrap w:val="0"/>
            <w:vAlign w:val="center"/>
          </w:tcPr>
          <w:p w14:paraId="2D6090B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射频线缆全铜SYV50-5单层屏蔽128编同轴电缆馈线50欧姆50-5高频线 国标 SYV50-5电缆 1米</w:t>
            </w:r>
          </w:p>
        </w:tc>
        <w:tc>
          <w:tcPr>
            <w:tcW w:w="782" w:type="dxa"/>
            <w:tcBorders>
              <w:top w:val="single" w:color="auto" w:sz="4" w:space="0"/>
              <w:left w:val="single" w:color="000000" w:sz="4" w:space="0"/>
              <w:bottom w:val="single" w:color="000000" w:sz="4" w:space="0"/>
              <w:right w:val="single" w:color="000000" w:sz="4" w:space="0"/>
            </w:tcBorders>
            <w:noWrap/>
            <w:vAlign w:val="center"/>
          </w:tcPr>
          <w:p w14:paraId="28E8BB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478" w:type="dxa"/>
            <w:tcBorders>
              <w:top w:val="single" w:color="auto" w:sz="4" w:space="0"/>
              <w:left w:val="single" w:color="000000" w:sz="4" w:space="0"/>
              <w:bottom w:val="single" w:color="000000" w:sz="4" w:space="0"/>
              <w:right w:val="single" w:color="000000" w:sz="4" w:space="0"/>
            </w:tcBorders>
            <w:noWrap w:val="0"/>
            <w:vAlign w:val="center"/>
          </w:tcPr>
          <w:p w14:paraId="505F42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14:paraId="4CFBB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219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C1FE9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音频连接线</w:t>
            </w:r>
          </w:p>
        </w:tc>
        <w:tc>
          <w:tcPr>
            <w:tcW w:w="57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295C5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1.8米音频连接线：卡侬头（母）-卡侬头（公）</w:t>
            </w:r>
          </w:p>
        </w:tc>
        <w:tc>
          <w:tcPr>
            <w:tcW w:w="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F74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418B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r>
      <w:tr w14:paraId="3E1AA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466" w:type="dxa"/>
            <w:tcBorders>
              <w:top w:val="single" w:color="000000" w:sz="4" w:space="0"/>
              <w:left w:val="single" w:color="000000" w:sz="4" w:space="0"/>
              <w:bottom w:val="single" w:color="000000" w:sz="4" w:space="0"/>
              <w:right w:val="single" w:color="000000" w:sz="4" w:space="0"/>
            </w:tcBorders>
            <w:noWrap/>
            <w:vAlign w:val="center"/>
          </w:tcPr>
          <w:p w14:paraId="2041B7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2E5089E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音频连接线</w:t>
            </w:r>
          </w:p>
        </w:tc>
        <w:tc>
          <w:tcPr>
            <w:tcW w:w="5731" w:type="dxa"/>
            <w:tcBorders>
              <w:top w:val="single" w:color="000000" w:sz="4" w:space="0"/>
              <w:left w:val="single" w:color="000000" w:sz="4" w:space="0"/>
              <w:bottom w:val="single" w:color="000000" w:sz="4" w:space="0"/>
              <w:right w:val="single" w:color="000000" w:sz="4" w:space="0"/>
            </w:tcBorders>
            <w:noWrap w:val="0"/>
            <w:vAlign w:val="center"/>
          </w:tcPr>
          <w:p w14:paraId="7DA508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1.8米音频连接线：3.5（耳机插头）-双6.35话筒插头</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7E3E9E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7990EF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r>
      <w:tr w14:paraId="73382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466" w:type="dxa"/>
            <w:tcBorders>
              <w:top w:val="single" w:color="000000" w:sz="4" w:space="0"/>
              <w:left w:val="single" w:color="000000" w:sz="4" w:space="0"/>
              <w:bottom w:val="single" w:color="000000" w:sz="4" w:space="0"/>
              <w:right w:val="single" w:color="000000" w:sz="4" w:space="0"/>
            </w:tcBorders>
            <w:noWrap/>
            <w:vAlign w:val="center"/>
          </w:tcPr>
          <w:p w14:paraId="3AF353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3D01608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音频连接线</w:t>
            </w:r>
          </w:p>
        </w:tc>
        <w:tc>
          <w:tcPr>
            <w:tcW w:w="5731" w:type="dxa"/>
            <w:tcBorders>
              <w:top w:val="single" w:color="000000" w:sz="4" w:space="0"/>
              <w:left w:val="single" w:color="000000" w:sz="4" w:space="0"/>
              <w:bottom w:val="single" w:color="000000" w:sz="4" w:space="0"/>
              <w:right w:val="single" w:color="000000" w:sz="4" w:space="0"/>
            </w:tcBorders>
            <w:noWrap w:val="0"/>
            <w:vAlign w:val="center"/>
          </w:tcPr>
          <w:p w14:paraId="4932ACD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1.8米音频连接线：6.35话筒插头-卡侬头（公）</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61F71A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16B05C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r>
      <w:tr w14:paraId="5327B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466" w:type="dxa"/>
            <w:tcBorders>
              <w:top w:val="single" w:color="000000" w:sz="4" w:space="0"/>
              <w:left w:val="single" w:color="000000" w:sz="4" w:space="0"/>
              <w:bottom w:val="single" w:color="000000" w:sz="4" w:space="0"/>
              <w:right w:val="single" w:color="000000" w:sz="4" w:space="0"/>
            </w:tcBorders>
            <w:noWrap/>
            <w:vAlign w:val="center"/>
          </w:tcPr>
          <w:p w14:paraId="67D2E7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00D40D6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音频连接线</w:t>
            </w:r>
          </w:p>
        </w:tc>
        <w:tc>
          <w:tcPr>
            <w:tcW w:w="5731" w:type="dxa"/>
            <w:tcBorders>
              <w:top w:val="single" w:color="000000" w:sz="4" w:space="0"/>
              <w:left w:val="single" w:color="000000" w:sz="4" w:space="0"/>
              <w:bottom w:val="single" w:color="000000" w:sz="4" w:space="0"/>
              <w:right w:val="single" w:color="000000" w:sz="4" w:space="0"/>
            </w:tcBorders>
            <w:noWrap w:val="0"/>
            <w:vAlign w:val="center"/>
          </w:tcPr>
          <w:p w14:paraId="461AD6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1.8米音频连接线：6.35话筒插头-6.35话筒插头</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35043F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51FA72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r>
      <w:tr w14:paraId="37A04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466" w:type="dxa"/>
            <w:tcBorders>
              <w:top w:val="single" w:color="000000" w:sz="4" w:space="0"/>
              <w:left w:val="single" w:color="000000" w:sz="4" w:space="0"/>
              <w:bottom w:val="single" w:color="000000" w:sz="4" w:space="0"/>
              <w:right w:val="single" w:color="000000" w:sz="4" w:space="0"/>
            </w:tcBorders>
            <w:noWrap/>
            <w:vAlign w:val="center"/>
          </w:tcPr>
          <w:p w14:paraId="6D5496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451CDD8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机柜</w:t>
            </w:r>
          </w:p>
        </w:tc>
        <w:tc>
          <w:tcPr>
            <w:tcW w:w="5731" w:type="dxa"/>
            <w:tcBorders>
              <w:top w:val="single" w:color="000000" w:sz="4" w:space="0"/>
              <w:left w:val="single" w:color="000000" w:sz="4" w:space="0"/>
              <w:bottom w:val="single" w:color="000000" w:sz="4" w:space="0"/>
              <w:right w:val="single" w:color="000000" w:sz="4" w:space="0"/>
            </w:tcBorders>
            <w:noWrap w:val="0"/>
            <w:vAlign w:val="center"/>
          </w:tcPr>
          <w:p w14:paraId="6F40792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42U，600*800*2000，钢化玻璃门</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48C51D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2B5F08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7FE86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466" w:type="dxa"/>
            <w:tcBorders>
              <w:top w:val="single" w:color="000000" w:sz="4" w:space="0"/>
              <w:left w:val="single" w:color="000000" w:sz="4" w:space="0"/>
              <w:bottom w:val="single" w:color="000000" w:sz="4" w:space="0"/>
              <w:right w:val="single" w:color="000000" w:sz="4" w:space="0"/>
            </w:tcBorders>
            <w:noWrap/>
            <w:vAlign w:val="center"/>
          </w:tcPr>
          <w:p w14:paraId="038458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04D3D23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音箱线</w:t>
            </w:r>
          </w:p>
        </w:tc>
        <w:tc>
          <w:tcPr>
            <w:tcW w:w="5731" w:type="dxa"/>
            <w:tcBorders>
              <w:top w:val="single" w:color="000000" w:sz="4" w:space="0"/>
              <w:left w:val="single" w:color="000000" w:sz="4" w:space="0"/>
              <w:bottom w:val="single" w:color="000000" w:sz="4" w:space="0"/>
              <w:right w:val="single" w:color="000000" w:sz="4" w:space="0"/>
            </w:tcBorders>
            <w:noWrap w:val="0"/>
            <w:vAlign w:val="center"/>
          </w:tcPr>
          <w:p w14:paraId="676B42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纯铜带神经线300芯蓝色金银音响线喇叭线</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31CCFC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 </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08D2F6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14:paraId="0FAC4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466" w:type="dxa"/>
            <w:tcBorders>
              <w:top w:val="single" w:color="000000" w:sz="4" w:space="0"/>
              <w:left w:val="single" w:color="000000" w:sz="4" w:space="0"/>
              <w:bottom w:val="single" w:color="000000" w:sz="4" w:space="0"/>
              <w:right w:val="single" w:color="000000" w:sz="4" w:space="0"/>
            </w:tcBorders>
            <w:noWrap/>
            <w:vAlign w:val="center"/>
          </w:tcPr>
          <w:p w14:paraId="5AF717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140D717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电源线</w:t>
            </w:r>
          </w:p>
        </w:tc>
        <w:tc>
          <w:tcPr>
            <w:tcW w:w="5731" w:type="dxa"/>
            <w:tcBorders>
              <w:top w:val="single" w:color="000000" w:sz="4" w:space="0"/>
              <w:left w:val="single" w:color="000000" w:sz="4" w:space="0"/>
              <w:bottom w:val="single" w:color="000000" w:sz="4" w:space="0"/>
              <w:right w:val="single" w:color="000000" w:sz="4" w:space="0"/>
            </w:tcBorders>
            <w:noWrap w:val="0"/>
            <w:vAlign w:val="center"/>
          </w:tcPr>
          <w:p w14:paraId="2553F4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RVV电线电缆 国标纯铜环保 RVV3*2.5</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76D727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0D200C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14:paraId="6D2D6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466" w:type="dxa"/>
            <w:tcBorders>
              <w:top w:val="single" w:color="000000" w:sz="4" w:space="0"/>
              <w:left w:val="single" w:color="000000" w:sz="4" w:space="0"/>
              <w:bottom w:val="single" w:color="000000" w:sz="4" w:space="0"/>
              <w:right w:val="single" w:color="000000" w:sz="4" w:space="0"/>
            </w:tcBorders>
            <w:noWrap/>
            <w:vAlign w:val="center"/>
          </w:tcPr>
          <w:p w14:paraId="7AE793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4A9868D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穿线管</w:t>
            </w:r>
          </w:p>
        </w:tc>
        <w:tc>
          <w:tcPr>
            <w:tcW w:w="5731" w:type="dxa"/>
            <w:tcBorders>
              <w:top w:val="single" w:color="000000" w:sz="4" w:space="0"/>
              <w:left w:val="single" w:color="000000" w:sz="4" w:space="0"/>
              <w:bottom w:val="single" w:color="000000" w:sz="4" w:space="0"/>
              <w:right w:val="single" w:color="000000" w:sz="4" w:space="0"/>
            </w:tcBorders>
            <w:noWrap w:val="0"/>
            <w:vAlign w:val="center"/>
          </w:tcPr>
          <w:p w14:paraId="52F2A23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JDG25</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0A6845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53A02E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14:paraId="160D4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466" w:type="dxa"/>
            <w:tcBorders>
              <w:top w:val="single" w:color="000000" w:sz="4" w:space="0"/>
              <w:left w:val="single" w:color="000000" w:sz="4" w:space="0"/>
              <w:bottom w:val="single" w:color="000000" w:sz="4" w:space="0"/>
              <w:right w:val="single" w:color="000000" w:sz="4" w:space="0"/>
            </w:tcBorders>
            <w:noWrap/>
            <w:vAlign w:val="center"/>
          </w:tcPr>
          <w:p w14:paraId="79AC3D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3097655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辅助材料</w:t>
            </w:r>
          </w:p>
        </w:tc>
        <w:tc>
          <w:tcPr>
            <w:tcW w:w="5731" w:type="dxa"/>
            <w:tcBorders>
              <w:top w:val="single" w:color="000000" w:sz="4" w:space="0"/>
              <w:left w:val="single" w:color="000000" w:sz="4" w:space="0"/>
              <w:bottom w:val="single" w:color="000000" w:sz="4" w:space="0"/>
              <w:right w:val="single" w:color="000000" w:sz="4" w:space="0"/>
            </w:tcBorders>
            <w:noWrap w:val="0"/>
            <w:vAlign w:val="center"/>
          </w:tcPr>
          <w:p w14:paraId="7A97578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含接插件、专用插座、紧固件、膨胀螺栓等</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330BF6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78" w:type="dxa"/>
            <w:tcBorders>
              <w:top w:val="single" w:color="000000" w:sz="4" w:space="0"/>
              <w:left w:val="single" w:color="000000" w:sz="4" w:space="0"/>
              <w:bottom w:val="single" w:color="000000" w:sz="4" w:space="0"/>
              <w:right w:val="single" w:color="000000" w:sz="4" w:space="0"/>
            </w:tcBorders>
            <w:noWrap/>
            <w:vAlign w:val="center"/>
          </w:tcPr>
          <w:p w14:paraId="433F0A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w:t>
            </w:r>
          </w:p>
        </w:tc>
      </w:tr>
    </w:tbl>
    <w:p w14:paraId="40306236">
      <w:pPr>
        <w:spacing w:line="440" w:lineRule="exact"/>
        <w:ind w:firstLine="422" w:firstLineChars="200"/>
        <w:rPr>
          <w:rFonts w:hint="default" w:ascii="宋体" w:hAnsi="宋体" w:cs="宋体"/>
          <w:b/>
          <w:bCs/>
          <w:szCs w:val="21"/>
          <w:highlight w:val="none"/>
          <w:lang w:val="en-US" w:eastAsia="zh-CN"/>
        </w:rPr>
      </w:pPr>
      <w:r>
        <w:rPr>
          <w:rFonts w:hint="eastAsia" w:ascii="宋体" w:hAnsi="宋体" w:cs="宋体"/>
          <w:b/>
          <w:bCs/>
          <w:szCs w:val="21"/>
          <w:highlight w:val="none"/>
          <w:lang w:val="en-US" w:eastAsia="zh-CN"/>
        </w:rPr>
        <w:t>注：1、上述参数及要求表格中</w:t>
      </w:r>
      <w:r>
        <w:rPr>
          <w:rFonts w:hint="eastAsia" w:ascii="宋体" w:hAnsi="宋体" w:eastAsia="宋体" w:cs="宋体"/>
          <w:b/>
          <w:bCs/>
          <w:i w:val="0"/>
          <w:iCs w:val="0"/>
          <w:color w:val="000000"/>
          <w:kern w:val="0"/>
          <w:sz w:val="21"/>
          <w:szCs w:val="21"/>
          <w:highlight w:val="none"/>
          <w:u w:val="none"/>
          <w:lang w:val="en-US" w:eastAsia="zh-CN" w:bidi="ar"/>
        </w:rPr>
        <w:t>LED主显示屏</w:t>
      </w:r>
      <w:r>
        <w:rPr>
          <w:rFonts w:hint="eastAsia" w:ascii="宋体" w:hAnsi="宋体" w:cs="宋体"/>
          <w:b/>
          <w:bCs/>
          <w:i w:val="0"/>
          <w:iCs w:val="0"/>
          <w:color w:val="000000"/>
          <w:kern w:val="0"/>
          <w:sz w:val="21"/>
          <w:szCs w:val="21"/>
          <w:highlight w:val="none"/>
          <w:u w:val="none"/>
          <w:lang w:val="en-US" w:eastAsia="zh-CN" w:bidi="ar"/>
        </w:rPr>
        <w:t>、主音箱、主音箱功放、吸顶音箱、吸顶音箱功放均须提供原厂质保函扫描件加盖投标供应商公章，否则视为无效响应。</w:t>
      </w:r>
    </w:p>
    <w:p w14:paraId="7A85A85F">
      <w:pPr>
        <w:spacing w:line="440" w:lineRule="exact"/>
        <w:ind w:firstLine="422" w:firstLineChars="200"/>
        <w:rPr>
          <w:rFonts w:hint="eastAsia" w:ascii="宋体" w:hAnsi="宋体" w:cs="宋体"/>
          <w:szCs w:val="21"/>
          <w:highlight w:val="none"/>
        </w:rPr>
      </w:pPr>
      <w:r>
        <w:rPr>
          <w:rFonts w:hint="eastAsia" w:ascii="宋体" w:hAnsi="宋体" w:cs="宋体"/>
          <w:b/>
          <w:bCs/>
          <w:szCs w:val="21"/>
          <w:highlight w:val="none"/>
          <w:lang w:val="en-US" w:eastAsia="zh-CN"/>
        </w:rPr>
        <w:t>十、</w:t>
      </w:r>
      <w:r>
        <w:rPr>
          <w:rFonts w:hint="eastAsia" w:ascii="宋体" w:hAnsi="宋体" w:cs="宋体"/>
          <w:b/>
          <w:bCs/>
          <w:szCs w:val="21"/>
          <w:highlight w:val="none"/>
        </w:rPr>
        <w:t>项目基本要求</w:t>
      </w:r>
    </w:p>
    <w:p w14:paraId="214F555F">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（一）基本要求</w:t>
      </w:r>
    </w:p>
    <w:p w14:paraId="7B5CC0F2">
      <w:pPr>
        <w:spacing w:line="440" w:lineRule="exact"/>
        <w:ind w:firstLine="420" w:firstLineChars="200"/>
        <w:rPr>
          <w:rFonts w:hint="eastAsia" w:ascii="宋体" w:hAnsi="宋体" w:cs="宋体"/>
          <w:szCs w:val="21"/>
        </w:rPr>
      </w:pPr>
      <w:r>
        <w:rPr>
          <w:rFonts w:hint="eastAsia" w:ascii="宋体" w:hAnsi="宋体" w:cs="宋体"/>
          <w:szCs w:val="21"/>
        </w:rPr>
        <w:t>1.采购标的需实现的功能或者目标</w:t>
      </w:r>
    </w:p>
    <w:p w14:paraId="7DA3EF11">
      <w:pPr>
        <w:spacing w:line="440" w:lineRule="exact"/>
        <w:ind w:firstLine="420" w:firstLineChars="200"/>
        <w:rPr>
          <w:rFonts w:hint="eastAsia" w:ascii="宋体" w:hAnsi="宋体" w:cs="宋体"/>
          <w:szCs w:val="21"/>
        </w:rPr>
      </w:pPr>
      <w:r>
        <w:rPr>
          <w:rFonts w:hint="eastAsia" w:ascii="宋体" w:hAnsi="宋体" w:cs="宋体"/>
          <w:szCs w:val="21"/>
        </w:rPr>
        <w:t>供应商根据招投标文件的要求，生产制作符合要求的产品，并按照要求的时间和地点保质保量完成送货和安装，确保正常使用。</w:t>
      </w:r>
    </w:p>
    <w:p w14:paraId="57A798B2">
      <w:pPr>
        <w:spacing w:line="440" w:lineRule="exact"/>
        <w:ind w:firstLine="420" w:firstLineChars="200"/>
        <w:rPr>
          <w:rFonts w:hint="eastAsia" w:ascii="宋体" w:hAnsi="宋体" w:cs="宋体"/>
          <w:szCs w:val="21"/>
        </w:rPr>
      </w:pPr>
      <w:r>
        <w:rPr>
          <w:rFonts w:hint="eastAsia" w:ascii="宋体" w:hAnsi="宋体" w:cs="宋体"/>
          <w:szCs w:val="21"/>
        </w:rPr>
        <w:t>2.需执行的国家相关标准、行业标准、地方标准或者其他标准、规范</w:t>
      </w:r>
    </w:p>
    <w:p w14:paraId="63E2C19F">
      <w:pPr>
        <w:spacing w:line="440" w:lineRule="exact"/>
        <w:ind w:firstLine="420" w:firstLineChars="200"/>
        <w:rPr>
          <w:rFonts w:hint="eastAsia" w:ascii="宋体" w:hAnsi="宋体" w:cs="宋体"/>
          <w:szCs w:val="21"/>
        </w:rPr>
      </w:pPr>
      <w:r>
        <w:rPr>
          <w:rFonts w:hint="eastAsia" w:ascii="宋体" w:hAnsi="宋体" w:cs="宋体"/>
          <w:szCs w:val="21"/>
        </w:rPr>
        <w:t>供应商应严格按照招投标文件规定进行供货，并对其质量负责。所供材料，其品牌规格等必须与招投标文件一致，不得以次充好。并提供原材料相关进货证明，检测报告和合格证等。所提供的货物的技术规格参数指标应等于或高于招标文件规定的技术规格参数指标；若技术性能无特殊说明，则按国家有关部门最新颁布的标准及规范为准。</w:t>
      </w:r>
    </w:p>
    <w:p w14:paraId="73BDF30C">
      <w:pPr>
        <w:spacing w:line="440" w:lineRule="exact"/>
        <w:ind w:firstLine="420" w:firstLineChars="200"/>
        <w:rPr>
          <w:rFonts w:hint="eastAsia" w:ascii="宋体" w:hAnsi="宋体" w:cs="宋体"/>
          <w:szCs w:val="21"/>
        </w:rPr>
      </w:pPr>
      <w:r>
        <w:rPr>
          <w:rFonts w:hint="eastAsia" w:ascii="宋体" w:hAnsi="宋体" w:cs="宋体"/>
          <w:szCs w:val="21"/>
        </w:rPr>
        <w:t>3.服务内容及要求/货物技术要求（包括但不限于以下内容）</w:t>
      </w:r>
    </w:p>
    <w:p w14:paraId="1FAE8A79">
      <w:pPr>
        <w:spacing w:line="440" w:lineRule="exact"/>
        <w:ind w:firstLine="420" w:firstLineChars="200"/>
        <w:rPr>
          <w:rFonts w:hint="eastAsia" w:ascii="宋体" w:hAnsi="宋体" w:cs="宋体"/>
          <w:szCs w:val="21"/>
        </w:rPr>
      </w:pPr>
      <w:r>
        <w:rPr>
          <w:rFonts w:hint="eastAsia" w:ascii="宋体" w:hAnsi="宋体" w:cs="宋体"/>
          <w:szCs w:val="21"/>
        </w:rPr>
        <w:t>3.1供应商应保证货物原材料为全新、未使用过的原装合格正品，并完全符合招标文件规定的质量、规格和技术参数要求。供应商应保证其提供的货物在正确安装、正常使用和保养条件下，具有良好的品质保证。</w:t>
      </w:r>
    </w:p>
    <w:p w14:paraId="0D773FE9">
      <w:pPr>
        <w:spacing w:line="440" w:lineRule="exact"/>
        <w:ind w:firstLine="420" w:firstLineChars="200"/>
        <w:rPr>
          <w:rFonts w:hint="eastAsia" w:ascii="宋体" w:hAnsi="宋体" w:cs="宋体"/>
          <w:szCs w:val="21"/>
        </w:rPr>
      </w:pPr>
      <w:r>
        <w:rPr>
          <w:rFonts w:hint="eastAsia" w:ascii="宋体" w:hAnsi="宋体" w:cs="宋体"/>
          <w:szCs w:val="21"/>
        </w:rPr>
        <w:t>3.2供应商负责供货的材料在制作前，应通知采购人，采购人根据招投标文件的技术参数等标准、规范要求进行检查或检测，如产生检测费用由供应商承担。如检测报告中有指标不合格，供应商因立即调查原因，更换材料，因此耽误的工期由供应商负全部责任，因此产生的后续紧急处理、处置所发生的费用由供应商承担。</w:t>
      </w:r>
    </w:p>
    <w:p w14:paraId="6C14B0C8">
      <w:pPr>
        <w:spacing w:line="440" w:lineRule="exact"/>
        <w:ind w:firstLine="420" w:firstLineChars="200"/>
        <w:rPr>
          <w:rFonts w:hint="eastAsia" w:ascii="宋体" w:hAnsi="宋体" w:cs="宋体"/>
          <w:szCs w:val="21"/>
        </w:rPr>
      </w:pPr>
      <w:r>
        <w:rPr>
          <w:rFonts w:hint="eastAsia" w:ascii="宋体" w:hAnsi="宋体" w:cs="宋体"/>
          <w:szCs w:val="21"/>
        </w:rPr>
        <w:t>3.3采购人和供应商对产品质量有争议，由双方同意的质量检测机构鉴定，所需费用及因此造成的损失，由责任方承担。</w:t>
      </w:r>
    </w:p>
    <w:p w14:paraId="2797D027">
      <w:pPr>
        <w:spacing w:line="440" w:lineRule="exact"/>
        <w:ind w:firstLine="420" w:firstLineChars="200"/>
        <w:rPr>
          <w:rFonts w:hint="eastAsia" w:ascii="宋体" w:hAnsi="宋体" w:cs="宋体"/>
          <w:szCs w:val="21"/>
        </w:rPr>
      </w:pPr>
      <w:r>
        <w:rPr>
          <w:rFonts w:hint="eastAsia" w:ascii="宋体" w:hAnsi="宋体" w:cs="宋体"/>
          <w:szCs w:val="21"/>
        </w:rPr>
        <w:t>3.4发现不合格品或材质与封存的样品不符的无条件退货（所发生的拆、包、运等费用由供应商负责）。</w:t>
      </w:r>
    </w:p>
    <w:p w14:paraId="0B0C08C6">
      <w:pPr>
        <w:keepNext w:val="0"/>
        <w:keepLines w:val="0"/>
        <w:pageBreakBefore w:val="0"/>
        <w:kinsoku/>
        <w:wordWrap/>
        <w:overflowPunct/>
        <w:topLinePunct w:val="0"/>
        <w:autoSpaceDE/>
        <w:autoSpaceDN/>
        <w:bidi w:val="0"/>
        <w:adjustRightInd/>
        <w:snapToGrid/>
        <w:spacing w:line="440" w:lineRule="exact"/>
        <w:ind w:firstLine="502"/>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4.</w:t>
      </w:r>
      <w:r>
        <w:rPr>
          <w:rFonts w:hint="eastAsia" w:ascii="宋体" w:hAnsi="宋体" w:eastAsia="宋体" w:cs="宋体"/>
          <w:b/>
          <w:color w:val="auto"/>
          <w:sz w:val="21"/>
          <w:szCs w:val="21"/>
          <w:highlight w:val="none"/>
        </w:rPr>
        <w:t>交货时，如</w:t>
      </w:r>
      <w:r>
        <w:rPr>
          <w:rFonts w:hint="eastAsia" w:ascii="宋体" w:hAnsi="宋体" w:cs="宋体"/>
          <w:b/>
          <w:color w:val="auto"/>
          <w:sz w:val="21"/>
          <w:szCs w:val="21"/>
          <w:highlight w:val="none"/>
          <w:lang w:val="en-US" w:eastAsia="zh-CN"/>
        </w:rPr>
        <w:t>成交</w:t>
      </w:r>
      <w:r>
        <w:rPr>
          <w:rFonts w:hint="eastAsia" w:ascii="宋体" w:hAnsi="宋体" w:eastAsia="宋体" w:cs="宋体"/>
          <w:b/>
          <w:color w:val="auto"/>
          <w:sz w:val="21"/>
          <w:szCs w:val="21"/>
          <w:highlight w:val="none"/>
        </w:rPr>
        <w:t>单位承诺响应的技术参数如与实际产品不符，则取消其中标资格，并追究其违约责任。</w:t>
      </w:r>
    </w:p>
    <w:p w14:paraId="652E3A33">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（二）验收标准</w:t>
      </w:r>
    </w:p>
    <w:p w14:paraId="52716151">
      <w:pPr>
        <w:autoSpaceDE w:val="0"/>
        <w:adjustRightInd w:val="0"/>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按照现行国家标准、行业标准、企业标准和采购合同约定对每一项技术、服务、安全标准的履约情况进行确认。采购人有权根据需要设置出厂检验、到货检验、安装调试检验、配套服务检验等多重验收环节。如检验不合格或不符合质量要求,供应商无条件退货,承担采购人一切损失。</w:t>
      </w:r>
    </w:p>
    <w:p w14:paraId="3D522B7C">
      <w:pPr>
        <w:widowControl/>
        <w:autoSpaceDE w:val="0"/>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（三）质量保证：</w:t>
      </w:r>
    </w:p>
    <w:p w14:paraId="73994D7A">
      <w:pPr>
        <w:autoSpaceDE w:val="0"/>
        <w:adjustRightInd w:val="0"/>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所提供货物必须符合国家有关标准;保证货物是全新、未使用过的原装合格正品,并保证货物在正常使用和保养条件下,符合其产品的质量保证要求。在使用过程中,一旦发现供应商所提供的货物不是原装合格正品,经查实后,供应商必须无条件接受退货,并按原价货款退还采购人,同时,采购人按有关规定有权要求索赔。</w:t>
      </w:r>
    </w:p>
    <w:p w14:paraId="26EDC284">
      <w:pPr>
        <w:autoSpaceDE w:val="0"/>
        <w:adjustRightInd w:val="0"/>
        <w:snapToGrid w:val="0"/>
        <w:spacing w:line="440" w:lineRule="exact"/>
        <w:ind w:firstLine="422" w:firstLineChars="200"/>
        <w:rPr>
          <w:rFonts w:hint="eastAsia" w:ascii="宋体" w:hAnsi="宋体" w:cs="宋体"/>
          <w:b/>
          <w:bCs/>
          <w:szCs w:val="21"/>
          <w:highlight w:val="none"/>
        </w:rPr>
      </w:pPr>
      <w:r>
        <w:rPr>
          <w:rFonts w:hint="eastAsia" w:ascii="宋体" w:hAnsi="宋体" w:cs="宋体"/>
          <w:b/>
          <w:bCs/>
          <w:szCs w:val="21"/>
          <w:highlight w:val="none"/>
          <w:lang w:val="en-US" w:eastAsia="zh-CN" w:bidi="ar"/>
        </w:rPr>
        <w:t>十一、</w:t>
      </w:r>
      <w:r>
        <w:rPr>
          <w:rFonts w:hint="eastAsia" w:ascii="宋体" w:hAnsi="宋体" w:cs="宋体"/>
          <w:b/>
          <w:bCs/>
          <w:szCs w:val="21"/>
          <w:highlight w:val="none"/>
          <w:lang w:bidi="ar"/>
        </w:rPr>
        <w:t>保密要求：</w:t>
      </w:r>
    </w:p>
    <w:p w14:paraId="2E57B568">
      <w:pPr>
        <w:autoSpaceDE w:val="0"/>
        <w:adjustRightInd w:val="0"/>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（一）成交供应商负责对采购人所提供资料及最终成果保密，成交供应商及其专业技术人员需遵守采购人的保密规定，不以任何形式将收集的所有资料、数据等进行泄漏、传播；</w:t>
      </w:r>
    </w:p>
    <w:p w14:paraId="4E63A1CF">
      <w:pPr>
        <w:autoSpaceDE w:val="0"/>
        <w:adjustRightInd w:val="0"/>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（二）项目成果所有权归属采购人，在项目完成时成交供应商必须全部移交，不得以任何形式公开项目信息；</w:t>
      </w:r>
    </w:p>
    <w:p w14:paraId="3965BF8F">
      <w:pPr>
        <w:autoSpaceDE w:val="0"/>
        <w:adjustRightInd w:val="0"/>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（三）成交供应商须维护项目服务成果，不得转让给第三方重复使用；</w:t>
      </w:r>
    </w:p>
    <w:p w14:paraId="4144ACE2">
      <w:pPr>
        <w:autoSpaceDE w:val="0"/>
        <w:adjustRightInd w:val="0"/>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（四）以上保密规定如有违反，采购人有权追究成交供应商相关法律责任并有权不进行费用结算。</w:t>
      </w:r>
    </w:p>
    <w:p w14:paraId="05454371">
      <w:pPr>
        <w:autoSpaceDE w:val="0"/>
        <w:adjustRightInd w:val="0"/>
        <w:snapToGrid w:val="0"/>
        <w:spacing w:line="440" w:lineRule="exact"/>
        <w:ind w:firstLine="422" w:firstLineChars="200"/>
        <w:rPr>
          <w:rFonts w:hint="eastAsia" w:ascii="宋体" w:hAnsi="宋体" w:cs="宋体"/>
          <w:b/>
          <w:bCs/>
          <w:szCs w:val="21"/>
          <w:highlight w:val="none"/>
        </w:rPr>
      </w:pPr>
      <w:r>
        <w:rPr>
          <w:rFonts w:hint="eastAsia" w:ascii="宋体" w:hAnsi="宋体" w:cs="宋体"/>
          <w:b/>
          <w:bCs/>
          <w:szCs w:val="21"/>
          <w:highlight w:val="none"/>
          <w:lang w:val="en-US" w:eastAsia="zh-CN" w:bidi="ar"/>
        </w:rPr>
        <w:t>十二、</w:t>
      </w:r>
      <w:r>
        <w:rPr>
          <w:rFonts w:hint="eastAsia" w:ascii="宋体" w:hAnsi="宋体" w:cs="宋体"/>
          <w:b/>
          <w:bCs/>
          <w:szCs w:val="21"/>
          <w:highlight w:val="none"/>
          <w:lang w:bidi="ar"/>
        </w:rPr>
        <w:t>其他要求</w:t>
      </w:r>
    </w:p>
    <w:p w14:paraId="655F9955">
      <w:pPr>
        <w:autoSpaceDE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（一）包装和运输</w:t>
      </w:r>
    </w:p>
    <w:p w14:paraId="5C0D2AA8">
      <w:pPr>
        <w:autoSpaceDE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包装应适应于远距离运输、防潮、防震、防锈和防野蛮装卸，以确保货物安全无损运抵指定地点。</w:t>
      </w:r>
    </w:p>
    <w:p w14:paraId="56199844">
      <w:pPr>
        <w:autoSpaceDE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（二）售后服务（质保期等）</w:t>
      </w:r>
    </w:p>
    <w:p w14:paraId="4D640670">
      <w:pPr>
        <w:autoSpaceDE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1.</w:t>
      </w:r>
      <w:bookmarkStart w:id="6" w:name="OLE_LINK1"/>
      <w:bookmarkStart w:id="7" w:name="OLE_LINK2"/>
      <w:r>
        <w:rPr>
          <w:rFonts w:hint="eastAsia" w:ascii="宋体" w:hAnsi="宋体" w:cs="宋体"/>
          <w:szCs w:val="21"/>
          <w:highlight w:val="none"/>
          <w:lang w:bidi="ar"/>
        </w:rPr>
        <w:t>本项目质保两年（包括2年免费备件保、免费原厂人工服务）</w:t>
      </w:r>
      <w:bookmarkEnd w:id="6"/>
      <w:bookmarkEnd w:id="7"/>
      <w:r>
        <w:rPr>
          <w:rFonts w:hint="eastAsia" w:ascii="宋体" w:hAnsi="宋体" w:cs="宋体"/>
          <w:szCs w:val="21"/>
          <w:highlight w:val="none"/>
          <w:lang w:bidi="ar"/>
        </w:rPr>
        <w:t>（自验收报告签字确认日起，开始进入质保期）。</w:t>
      </w:r>
      <w:r>
        <w:rPr>
          <w:rFonts w:hint="eastAsia" w:ascii="宋体" w:hAnsi="宋体" w:eastAsia="宋体" w:cs="宋体"/>
          <w:sz w:val="21"/>
          <w:szCs w:val="21"/>
          <w:highlight w:val="none"/>
          <w:lang w:bidi="ar"/>
        </w:rPr>
        <w:t>因设备本身质量问题导致更换的备品备件，其质保期将重新计算。自该备品备件更换完毕并经</w:t>
      </w:r>
      <w:r>
        <w:rPr>
          <w:rFonts w:hint="eastAsia" w:ascii="宋体" w:hAnsi="宋体" w:eastAsia="宋体" w:cs="宋体"/>
          <w:sz w:val="21"/>
          <w:szCs w:val="21"/>
          <w:highlight w:val="none"/>
          <w:lang w:val="en-US" w:eastAsia="zh-CN" w:bidi="ar"/>
        </w:rPr>
        <w:t>甲方</w:t>
      </w:r>
      <w:r>
        <w:rPr>
          <w:rFonts w:hint="eastAsia" w:ascii="宋体" w:hAnsi="宋体" w:eastAsia="宋体" w:cs="宋体"/>
          <w:sz w:val="21"/>
          <w:szCs w:val="21"/>
          <w:highlight w:val="none"/>
          <w:lang w:bidi="ar"/>
        </w:rPr>
        <w:t>验收合格之日起，重新享有为期</w:t>
      </w:r>
      <w:r>
        <w:rPr>
          <w:rFonts w:hint="eastAsia" w:ascii="宋体" w:hAnsi="宋体" w:eastAsia="宋体" w:cs="宋体"/>
          <w:sz w:val="21"/>
          <w:szCs w:val="21"/>
          <w:highlight w:val="none"/>
          <w:lang w:val="en-US" w:eastAsia="zh-CN" w:bidi="ar"/>
        </w:rPr>
        <w:t>两年</w:t>
      </w:r>
      <w:r>
        <w:rPr>
          <w:rFonts w:hint="eastAsia" w:ascii="宋体" w:hAnsi="宋体" w:eastAsia="宋体" w:cs="宋体"/>
          <w:sz w:val="21"/>
          <w:szCs w:val="21"/>
          <w:highlight w:val="none"/>
          <w:lang w:bidi="ar"/>
        </w:rPr>
        <w:t>的质保服务。</w:t>
      </w:r>
      <w:r>
        <w:rPr>
          <w:rFonts w:hint="eastAsia" w:ascii="宋体" w:hAnsi="宋体" w:cs="宋体"/>
          <w:szCs w:val="21"/>
          <w:highlight w:val="none"/>
          <w:lang w:bidi="ar"/>
        </w:rPr>
        <w:t>供应商应按照国家有关法律法规规章和“三包”规定以及合同所附的“服务承诺”提供服务。除上述规定外，还应提供下列服务。</w:t>
      </w:r>
    </w:p>
    <w:p w14:paraId="2FA1AE93">
      <w:pPr>
        <w:autoSpaceDE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2.在合同规定的质量保证期内免费提供维修服务；</w:t>
      </w:r>
    </w:p>
    <w:p w14:paraId="4134FD47">
      <w:pPr>
        <w:autoSpaceDE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3.如货物发生质量问题影响正常使用的，必须在2小时内到达现场实施维修并及时排除隐患；</w:t>
      </w:r>
    </w:p>
    <w:p w14:paraId="66ED4E5F">
      <w:pPr>
        <w:autoSpaceDE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4.若货物在经过维修仍影响正常使用的，供应商应在48 小时内进行货物部分材料的更换或者整体更换。更换材料的规格型号档次不能低于原货物的标准。</w:t>
      </w:r>
    </w:p>
    <w:p w14:paraId="3A16F254">
      <w:pPr>
        <w:autoSpaceDE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5.供应商所供货物要求实行终身维保；在此期间内，不应发生非人为原因的重大故障，否则采购人有权追溯供应商的责任。</w:t>
      </w:r>
    </w:p>
    <w:p w14:paraId="6269D1CB">
      <w:pPr>
        <w:autoSpaceDE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6.在质保期满后，供应商所供货物出现损坏时，供应商仍需做好售后服务，并依照质保期内的服务方案及时赶到现场，及时处理解决。如需更换零部件，采购人支付相应材料成本费。</w:t>
      </w:r>
    </w:p>
    <w:p w14:paraId="3975DBB7">
      <w:pPr>
        <w:autoSpaceDE w:val="0"/>
        <w:spacing w:line="440" w:lineRule="exact"/>
        <w:ind w:firstLine="420" w:firstLineChars="200"/>
        <w:rPr>
          <w:rFonts w:hint="eastAsia" w:ascii="宋体" w:hAnsi="宋体" w:cs="宋体"/>
          <w:szCs w:val="21"/>
          <w:highlight w:val="none"/>
          <w:lang w:bidi="ar"/>
        </w:rPr>
      </w:pPr>
      <w:r>
        <w:rPr>
          <w:rFonts w:hint="eastAsia" w:ascii="宋体" w:hAnsi="宋体" w:cs="宋体"/>
          <w:szCs w:val="21"/>
          <w:highlight w:val="none"/>
          <w:lang w:bidi="ar"/>
        </w:rPr>
        <w:t>（三）派送地点：甲方指定地点</w:t>
      </w:r>
    </w:p>
    <w:p w14:paraId="0E4D46BC">
      <w:pPr>
        <w:adjustRightInd w:val="0"/>
        <w:snapToGrid w:val="0"/>
        <w:spacing w:line="460" w:lineRule="exact"/>
        <w:rPr>
          <w:rFonts w:ascii="宋体" w:hAnsi="宋体" w:cs="宋体"/>
          <w:b/>
          <w:bCs/>
          <w:kern w:val="0"/>
          <w:szCs w:val="21"/>
          <w:highlight w:val="none"/>
        </w:rPr>
      </w:pPr>
      <w:r>
        <w:rPr>
          <w:rFonts w:hint="eastAsia" w:ascii="宋体" w:hAnsi="宋体" w:cs="宋体"/>
          <w:b/>
          <w:bCs/>
          <w:kern w:val="0"/>
          <w:szCs w:val="21"/>
          <w:highlight w:val="none"/>
          <w:lang w:val="en-US" w:eastAsia="zh-CN"/>
        </w:rPr>
        <w:t>十三、</w:t>
      </w:r>
      <w:r>
        <w:rPr>
          <w:rFonts w:hint="eastAsia" w:ascii="宋体" w:hAnsi="宋体" w:cs="宋体"/>
          <w:b/>
          <w:bCs/>
          <w:kern w:val="0"/>
          <w:szCs w:val="21"/>
          <w:highlight w:val="none"/>
        </w:rPr>
        <w:t>付款方式及考核</w:t>
      </w:r>
    </w:p>
    <w:p w14:paraId="62937432">
      <w:pPr>
        <w:spacing w:line="440" w:lineRule="exact"/>
        <w:ind w:firstLine="420" w:firstLineChars="200"/>
        <w:rPr>
          <w:rFonts w:hint="eastAsia" w:ascii="宋体" w:hAnsi="宋体" w:cs="宋体"/>
          <w:szCs w:val="21"/>
          <w:highlight w:val="none"/>
          <w:lang w:val="en-US" w:eastAsia="zh-CN" w:bidi="ar"/>
        </w:rPr>
      </w:pPr>
      <w:r>
        <w:rPr>
          <w:rFonts w:hint="eastAsia" w:ascii="宋体" w:hAnsi="宋体" w:cs="宋体"/>
          <w:szCs w:val="21"/>
          <w:highlight w:val="none"/>
        </w:rPr>
        <w:t>（一）付款方式</w:t>
      </w:r>
      <w:bookmarkStart w:id="8" w:name="OLE_LINK6"/>
      <w:bookmarkStart w:id="9" w:name="OLE_LINK5"/>
      <w:r>
        <w:rPr>
          <w:rFonts w:hint="eastAsia" w:ascii="宋体" w:hAnsi="宋体" w:cs="宋体"/>
          <w:szCs w:val="21"/>
          <w:highlight w:val="none"/>
        </w:rPr>
        <w:t>：</w:t>
      </w:r>
      <w:bookmarkEnd w:id="8"/>
      <w:bookmarkEnd w:id="9"/>
      <w:r>
        <w:rPr>
          <w:rFonts w:hint="eastAsia" w:ascii="宋体" w:hAnsi="宋体" w:cs="宋体"/>
          <w:szCs w:val="21"/>
          <w:highlight w:val="none"/>
          <w:lang w:val="en-US" w:eastAsia="zh-CN" w:bidi="ar"/>
        </w:rPr>
        <w:t>合同约定的所有设备安装验收完成后</w:t>
      </w:r>
      <w:r>
        <w:rPr>
          <w:rFonts w:hint="default" w:ascii="宋体" w:hAnsi="宋体" w:cs="宋体"/>
          <w:szCs w:val="21"/>
          <w:highlight w:val="none"/>
          <w:lang w:val="en-US" w:eastAsia="zh-CN" w:bidi="ar"/>
        </w:rPr>
        <w:t>，</w:t>
      </w:r>
      <w:r>
        <w:rPr>
          <w:rFonts w:hint="eastAsia" w:ascii="宋体" w:hAnsi="宋体" w:cs="宋体"/>
          <w:szCs w:val="21"/>
          <w:highlight w:val="none"/>
          <w:lang w:val="en-US" w:eastAsia="zh-CN" w:bidi="ar"/>
        </w:rPr>
        <w:t>采购人根据结算审计结果、考核结果至多支付考核金额的95%，剩余金额于质保期满后付清。</w:t>
      </w:r>
    </w:p>
    <w:p w14:paraId="1ADD67BD">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（二）支付考核（考核表详见合同附件）</w:t>
      </w:r>
    </w:p>
    <w:p w14:paraId="63A080F0">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根据考核办法在本项目每次付款节点对服务质量进行评定，评定分数为95（不含）-100、80（不含）-95（含）、80（含以下）三个级别，节点付款需根据最终的评定结果分别乘以 1.0、0.9、0.8 的系数。咨询服务节点付款金额=节点付款金额*评定系数</w:t>
      </w:r>
    </w:p>
    <w:p w14:paraId="501A7A06">
      <w:pPr>
        <w:spacing w:line="460" w:lineRule="exact"/>
        <w:rPr>
          <w:rFonts w:ascii="宋体" w:hAnsi="宋体" w:cs="宋体"/>
          <w:b/>
          <w:bCs/>
          <w:color w:val="auto"/>
          <w:szCs w:val="21"/>
          <w:highlight w:val="none"/>
        </w:rPr>
      </w:pPr>
      <w:r>
        <w:rPr>
          <w:rFonts w:hint="eastAsia" w:ascii="宋体" w:hAnsi="宋体" w:cs="宋体"/>
          <w:b/>
          <w:bCs/>
          <w:color w:val="auto"/>
          <w:szCs w:val="21"/>
          <w:highlight w:val="none"/>
        </w:rPr>
        <w:t>十</w:t>
      </w:r>
      <w:r>
        <w:rPr>
          <w:rFonts w:hint="eastAsia" w:ascii="宋体" w:hAnsi="宋体" w:cs="宋体"/>
          <w:b/>
          <w:bCs/>
          <w:color w:val="auto"/>
          <w:szCs w:val="21"/>
          <w:highlight w:val="none"/>
          <w:lang w:val="en-US" w:eastAsia="zh-CN"/>
        </w:rPr>
        <w:t>四</w:t>
      </w:r>
      <w:r>
        <w:rPr>
          <w:rFonts w:hint="eastAsia" w:ascii="宋体" w:hAnsi="宋体" w:cs="宋体"/>
          <w:b/>
          <w:bCs/>
          <w:color w:val="auto"/>
          <w:szCs w:val="21"/>
          <w:highlight w:val="none"/>
        </w:rPr>
        <w:t>、评标办法</w:t>
      </w:r>
    </w:p>
    <w:p w14:paraId="21115849">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本项目为询价项目，采用现场询价，确定中标（成交）单位原则：最低价评标法。</w:t>
      </w:r>
    </w:p>
    <w:bookmarkEnd w:id="0"/>
    <w:bookmarkEnd w:id="1"/>
    <w:bookmarkEnd w:id="2"/>
    <w:bookmarkEnd w:id="3"/>
    <w:bookmarkEnd w:id="4"/>
    <w:bookmarkEnd w:id="5"/>
    <w:p w14:paraId="7AD6B295">
      <w:pPr>
        <w:spacing w:line="420" w:lineRule="exact"/>
        <w:jc w:val="center"/>
        <w:rPr>
          <w:rFonts w:ascii="宋体" w:hAnsi="宋体" w:cs="宋体"/>
          <w:b/>
          <w:bCs/>
          <w:color w:val="auto"/>
          <w:kern w:val="0"/>
          <w:sz w:val="30"/>
          <w:szCs w:val="30"/>
          <w:highlight w:val="none"/>
        </w:rPr>
      </w:pPr>
    </w:p>
    <w:p w14:paraId="2D0F2D0B">
      <w:pPr>
        <w:spacing w:line="420" w:lineRule="exact"/>
        <w:jc w:val="center"/>
        <w:rPr>
          <w:rFonts w:ascii="宋体" w:hAnsi="宋体" w:cs="宋体"/>
          <w:b/>
          <w:bCs/>
          <w:color w:val="auto"/>
          <w:kern w:val="0"/>
          <w:sz w:val="30"/>
          <w:szCs w:val="30"/>
          <w:highlight w:val="none"/>
        </w:rPr>
      </w:pPr>
    </w:p>
    <w:p w14:paraId="4F0978A2">
      <w:pPr>
        <w:spacing w:line="420" w:lineRule="exact"/>
        <w:jc w:val="center"/>
        <w:rPr>
          <w:rFonts w:hint="eastAsia" w:ascii="宋体" w:hAnsi="宋体" w:cs="宋体"/>
          <w:b/>
          <w:bCs/>
          <w:color w:val="auto"/>
          <w:kern w:val="0"/>
          <w:sz w:val="30"/>
          <w:szCs w:val="30"/>
          <w:highlight w:val="none"/>
        </w:rPr>
      </w:pPr>
    </w:p>
    <w:p w14:paraId="2659A5AC">
      <w:pPr>
        <w:spacing w:line="420" w:lineRule="exact"/>
        <w:jc w:val="center"/>
        <w:rPr>
          <w:rFonts w:hint="eastAsia" w:ascii="宋体" w:hAnsi="宋体" w:cs="宋体"/>
          <w:b/>
          <w:bCs/>
          <w:color w:val="auto"/>
          <w:kern w:val="0"/>
          <w:sz w:val="30"/>
          <w:szCs w:val="30"/>
          <w:highlight w:val="none"/>
        </w:rPr>
      </w:pPr>
    </w:p>
    <w:p w14:paraId="06E2D75D">
      <w:pPr>
        <w:spacing w:line="420" w:lineRule="exact"/>
        <w:jc w:val="center"/>
        <w:rPr>
          <w:rFonts w:hint="eastAsia" w:ascii="宋体" w:hAnsi="宋体" w:cs="宋体"/>
          <w:b/>
          <w:bCs/>
          <w:color w:val="auto"/>
          <w:kern w:val="0"/>
          <w:sz w:val="30"/>
          <w:szCs w:val="30"/>
          <w:highlight w:val="none"/>
        </w:rPr>
      </w:pPr>
    </w:p>
    <w:p w14:paraId="4C730AE9">
      <w:pPr>
        <w:spacing w:line="420" w:lineRule="exact"/>
        <w:jc w:val="center"/>
        <w:rPr>
          <w:rFonts w:hint="eastAsia" w:ascii="宋体" w:hAnsi="宋体" w:cs="宋体"/>
          <w:b/>
          <w:bCs/>
          <w:color w:val="auto"/>
          <w:kern w:val="0"/>
          <w:sz w:val="30"/>
          <w:szCs w:val="30"/>
          <w:highlight w:val="none"/>
        </w:rPr>
      </w:pPr>
    </w:p>
    <w:p w14:paraId="64D9A72C">
      <w:pPr>
        <w:spacing w:line="420" w:lineRule="exact"/>
        <w:jc w:val="center"/>
        <w:rPr>
          <w:rFonts w:hint="eastAsia" w:ascii="宋体" w:hAnsi="宋体" w:cs="宋体"/>
          <w:b/>
          <w:bCs/>
          <w:color w:val="auto"/>
          <w:kern w:val="0"/>
          <w:sz w:val="30"/>
          <w:szCs w:val="30"/>
          <w:highlight w:val="none"/>
        </w:rPr>
      </w:pPr>
    </w:p>
    <w:p w14:paraId="64FB7EB1">
      <w:pPr>
        <w:spacing w:line="420" w:lineRule="exact"/>
        <w:jc w:val="center"/>
        <w:rPr>
          <w:rFonts w:hint="eastAsia" w:ascii="宋体" w:hAnsi="宋体" w:cs="宋体"/>
          <w:b/>
          <w:bCs/>
          <w:color w:val="auto"/>
          <w:kern w:val="0"/>
          <w:sz w:val="30"/>
          <w:szCs w:val="30"/>
          <w:highlight w:val="none"/>
        </w:rPr>
      </w:pPr>
    </w:p>
    <w:p w14:paraId="078E1FFD">
      <w:pPr>
        <w:spacing w:line="420" w:lineRule="exact"/>
        <w:jc w:val="center"/>
        <w:rPr>
          <w:rFonts w:hint="eastAsia" w:ascii="宋体" w:hAnsi="宋体" w:cs="宋体"/>
          <w:b/>
          <w:bCs/>
          <w:color w:val="auto"/>
          <w:kern w:val="0"/>
          <w:sz w:val="30"/>
          <w:szCs w:val="30"/>
          <w:highlight w:val="none"/>
        </w:rPr>
      </w:pPr>
    </w:p>
    <w:p w14:paraId="0D735718">
      <w:pPr>
        <w:spacing w:line="420" w:lineRule="exact"/>
        <w:jc w:val="center"/>
        <w:rPr>
          <w:rFonts w:hint="eastAsia" w:ascii="宋体" w:hAnsi="宋体" w:cs="宋体"/>
          <w:b/>
          <w:bCs/>
          <w:color w:val="auto"/>
          <w:kern w:val="0"/>
          <w:sz w:val="30"/>
          <w:szCs w:val="30"/>
          <w:highlight w:val="none"/>
        </w:rPr>
      </w:pPr>
    </w:p>
    <w:p w14:paraId="15B59DE8">
      <w:pPr>
        <w:spacing w:line="420" w:lineRule="exact"/>
        <w:jc w:val="center"/>
        <w:rPr>
          <w:rFonts w:hint="eastAsia" w:ascii="宋体" w:hAnsi="宋体" w:cs="宋体"/>
          <w:b/>
          <w:bCs/>
          <w:color w:val="auto"/>
          <w:kern w:val="0"/>
          <w:sz w:val="30"/>
          <w:szCs w:val="30"/>
          <w:highlight w:val="none"/>
        </w:rPr>
      </w:pPr>
    </w:p>
    <w:p w14:paraId="30FFBE25">
      <w:pPr>
        <w:spacing w:line="420" w:lineRule="exact"/>
        <w:jc w:val="center"/>
        <w:rPr>
          <w:rFonts w:hint="eastAsia" w:ascii="宋体" w:hAnsi="宋体" w:cs="宋体"/>
          <w:b/>
          <w:bCs/>
          <w:color w:val="auto"/>
          <w:kern w:val="0"/>
          <w:sz w:val="30"/>
          <w:szCs w:val="30"/>
          <w:highlight w:val="none"/>
        </w:rPr>
      </w:pPr>
    </w:p>
    <w:p w14:paraId="5C6F9036">
      <w:pPr>
        <w:spacing w:line="420" w:lineRule="exact"/>
        <w:jc w:val="center"/>
        <w:rPr>
          <w:rFonts w:hint="eastAsia" w:ascii="宋体" w:hAnsi="宋体" w:cs="宋体"/>
          <w:b/>
          <w:bCs/>
          <w:color w:val="auto"/>
          <w:kern w:val="0"/>
          <w:sz w:val="30"/>
          <w:szCs w:val="30"/>
          <w:highlight w:val="none"/>
        </w:rPr>
      </w:pPr>
    </w:p>
    <w:p w14:paraId="61C71069">
      <w:pPr>
        <w:rPr>
          <w:rFonts w:hint="eastAsia" w:ascii="宋体" w:hAnsi="宋体" w:cs="宋体"/>
          <w:b/>
          <w:bCs/>
          <w:color w:val="auto"/>
          <w:kern w:val="0"/>
          <w:sz w:val="30"/>
          <w:szCs w:val="30"/>
          <w:highlight w:val="none"/>
        </w:rPr>
      </w:pPr>
      <w:r>
        <w:rPr>
          <w:rFonts w:hint="eastAsia" w:ascii="宋体" w:hAnsi="宋体" w:cs="宋体"/>
          <w:b/>
          <w:bCs/>
          <w:color w:val="auto"/>
          <w:kern w:val="0"/>
          <w:sz w:val="30"/>
          <w:szCs w:val="30"/>
          <w:highlight w:val="none"/>
        </w:rPr>
        <w:br w:type="page"/>
      </w:r>
    </w:p>
    <w:p w14:paraId="5059CD38">
      <w:pPr>
        <w:spacing w:line="420" w:lineRule="exact"/>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合同主要条款</w:t>
      </w:r>
    </w:p>
    <w:p w14:paraId="5DA0479E">
      <w:pPr>
        <w:widowControl/>
        <w:snapToGrid w:val="0"/>
        <w:spacing w:line="420" w:lineRule="exact"/>
        <w:ind w:right="-154"/>
        <w:jc w:val="left"/>
        <w:rPr>
          <w:rFonts w:ascii="宋体" w:hAnsi="宋体" w:cs="宋体"/>
          <w:color w:val="auto"/>
          <w:kern w:val="0"/>
          <w:szCs w:val="21"/>
          <w:highlight w:val="none"/>
        </w:rPr>
      </w:pPr>
    </w:p>
    <w:p w14:paraId="2E7A2F43">
      <w:pPr>
        <w:wordWrap w:val="0"/>
        <w:adjustRightInd w:val="0"/>
        <w:snapToGrid w:val="0"/>
        <w:ind w:right="723" w:firstLine="482"/>
        <w:jc w:val="right"/>
        <w:rPr>
          <w:rFonts w:hint="eastAsia" w:ascii="宋体" w:hAnsi="宋体" w:cs="宋体"/>
          <w:b/>
          <w:spacing w:val="40"/>
          <w:sz w:val="30"/>
          <w:szCs w:val="30"/>
        </w:rPr>
      </w:pPr>
      <w:r>
        <w:rPr>
          <w:rFonts w:hint="eastAsia" w:ascii="宋体" w:hAnsi="宋体" w:cs="宋体"/>
          <w:b/>
          <w:sz w:val="30"/>
          <w:szCs w:val="30"/>
        </w:rPr>
        <w:t xml:space="preserve">合同编号：   </w:t>
      </w:r>
    </w:p>
    <w:p w14:paraId="66196F88">
      <w:pPr>
        <w:spacing w:before="100" w:beforeAutospacing="1" w:after="100" w:afterAutospacing="1"/>
        <w:jc w:val="left"/>
        <w:rPr>
          <w:rFonts w:hint="eastAsia" w:ascii="宋体" w:hAnsi="宋体" w:cs="宋体"/>
          <w:b/>
          <w:bCs/>
          <w:sz w:val="28"/>
          <w:szCs w:val="28"/>
        </w:rPr>
      </w:pPr>
    </w:p>
    <w:p w14:paraId="75993948">
      <w:pPr>
        <w:spacing w:before="100" w:beforeAutospacing="1" w:after="100" w:afterAutospacing="1" w:line="360" w:lineRule="auto"/>
        <w:jc w:val="center"/>
        <w:rPr>
          <w:rFonts w:hint="eastAsia" w:ascii="宋体" w:hAnsi="宋体" w:cs="宋体"/>
          <w:b/>
          <w:bCs/>
          <w:sz w:val="32"/>
          <w:szCs w:val="32"/>
        </w:rPr>
      </w:pPr>
    </w:p>
    <w:p w14:paraId="6723A332">
      <w:pPr>
        <w:spacing w:before="100" w:beforeAutospacing="1" w:after="100" w:afterAutospacing="1" w:line="360" w:lineRule="auto"/>
        <w:jc w:val="center"/>
        <w:rPr>
          <w:rFonts w:hint="eastAsia" w:ascii="宋体" w:hAnsi="宋体" w:cs="宋体"/>
          <w:b/>
          <w:bCs/>
          <w:sz w:val="32"/>
          <w:szCs w:val="32"/>
        </w:rPr>
      </w:pPr>
      <w:r>
        <w:rPr>
          <w:rFonts w:hint="eastAsia" w:ascii="宋体" w:hAnsi="宋体" w:cs="宋体"/>
          <w:b/>
          <w:bCs/>
          <w:sz w:val="32"/>
          <w:szCs w:val="32"/>
          <w:lang w:eastAsia="zh-CN"/>
        </w:rPr>
        <w:t>综合楼二楼会议室大屏幕及配套会议设备</w:t>
      </w:r>
      <w:r>
        <w:rPr>
          <w:rFonts w:hint="eastAsia" w:ascii="宋体" w:hAnsi="宋体" w:cs="宋体"/>
          <w:b/>
          <w:bCs/>
          <w:sz w:val="32"/>
          <w:szCs w:val="32"/>
        </w:rPr>
        <w:t>合同</w:t>
      </w:r>
    </w:p>
    <w:p w14:paraId="4A5BA9D4">
      <w:pPr>
        <w:adjustRightInd w:val="0"/>
        <w:snapToGrid w:val="0"/>
        <w:spacing w:line="360" w:lineRule="auto"/>
        <w:ind w:left="105" w:leftChars="50" w:firstLine="480"/>
        <w:jc w:val="left"/>
        <w:rPr>
          <w:rFonts w:hint="eastAsia" w:ascii="宋体" w:hAnsi="宋体" w:cs="宋体"/>
          <w:szCs w:val="21"/>
        </w:rPr>
      </w:pPr>
    </w:p>
    <w:p w14:paraId="689DD07E">
      <w:pPr>
        <w:adjustRightInd w:val="0"/>
        <w:snapToGrid w:val="0"/>
        <w:spacing w:line="360" w:lineRule="auto"/>
        <w:ind w:left="105" w:leftChars="50" w:firstLine="480"/>
        <w:jc w:val="left"/>
        <w:rPr>
          <w:rFonts w:hint="eastAsia" w:ascii="宋体" w:hAnsi="宋体" w:cs="宋体"/>
          <w:szCs w:val="21"/>
        </w:rPr>
      </w:pPr>
    </w:p>
    <w:p w14:paraId="7268DB24">
      <w:pPr>
        <w:adjustRightInd w:val="0"/>
        <w:snapToGrid w:val="0"/>
        <w:spacing w:line="360" w:lineRule="auto"/>
        <w:ind w:left="105" w:leftChars="50" w:firstLine="480"/>
        <w:jc w:val="left"/>
        <w:rPr>
          <w:rFonts w:hint="eastAsia" w:ascii="宋体" w:hAnsi="宋体" w:cs="宋体"/>
          <w:szCs w:val="21"/>
        </w:rPr>
      </w:pPr>
    </w:p>
    <w:p w14:paraId="2218053D">
      <w:pPr>
        <w:adjustRightInd w:val="0"/>
        <w:snapToGrid w:val="0"/>
        <w:spacing w:line="360" w:lineRule="auto"/>
        <w:ind w:left="105" w:leftChars="50" w:firstLine="480"/>
        <w:jc w:val="left"/>
        <w:rPr>
          <w:rFonts w:hint="eastAsia" w:ascii="宋体" w:hAnsi="宋体" w:cs="宋体"/>
          <w:szCs w:val="21"/>
        </w:rPr>
      </w:pPr>
    </w:p>
    <w:p w14:paraId="7D488AAB">
      <w:pPr>
        <w:adjustRightInd w:val="0"/>
        <w:snapToGrid w:val="0"/>
        <w:spacing w:line="360" w:lineRule="auto"/>
        <w:ind w:left="105" w:leftChars="50" w:firstLine="480"/>
        <w:jc w:val="left"/>
        <w:rPr>
          <w:rFonts w:hint="eastAsia" w:ascii="宋体" w:hAnsi="宋体" w:cs="宋体"/>
          <w:szCs w:val="21"/>
        </w:rPr>
      </w:pPr>
    </w:p>
    <w:p w14:paraId="667E7EE8">
      <w:pPr>
        <w:adjustRightInd w:val="0"/>
        <w:snapToGrid w:val="0"/>
        <w:spacing w:line="600" w:lineRule="auto"/>
        <w:ind w:firstLine="602" w:firstLineChars="200"/>
        <w:jc w:val="left"/>
        <w:rPr>
          <w:rFonts w:hint="eastAsia" w:ascii="宋体" w:hAnsi="宋体" w:cs="宋体"/>
          <w:b/>
          <w:sz w:val="28"/>
          <w:szCs w:val="28"/>
          <w:u w:val="single"/>
        </w:rPr>
      </w:pPr>
      <w:r>
        <w:rPr>
          <w:rFonts w:hint="eastAsia" w:ascii="宋体" w:hAnsi="宋体" w:cs="宋体"/>
          <w:b/>
          <w:sz w:val="30"/>
          <w:szCs w:val="30"/>
        </w:rPr>
        <w:t>项目名称：</w:t>
      </w:r>
      <w:r>
        <w:rPr>
          <w:rFonts w:hint="eastAsia" w:ascii="宋体" w:hAnsi="宋体" w:cs="宋体"/>
          <w:b/>
          <w:sz w:val="28"/>
          <w:szCs w:val="28"/>
          <w:u w:val="single"/>
        </w:rPr>
        <w:t xml:space="preserve">                                  </w:t>
      </w:r>
    </w:p>
    <w:p w14:paraId="5A9D8DC4">
      <w:pPr>
        <w:adjustRightInd w:val="0"/>
        <w:snapToGrid w:val="0"/>
        <w:spacing w:line="600" w:lineRule="auto"/>
        <w:ind w:firstLine="602" w:firstLineChars="200"/>
        <w:jc w:val="left"/>
        <w:rPr>
          <w:rFonts w:hint="eastAsia" w:ascii="宋体" w:hAnsi="宋体" w:cs="宋体"/>
          <w:sz w:val="30"/>
          <w:szCs w:val="30"/>
        </w:rPr>
      </w:pPr>
      <w:r>
        <w:rPr>
          <w:rFonts w:hint="eastAsia" w:ascii="宋体" w:hAnsi="宋体" w:cs="宋体"/>
          <w:b/>
          <w:sz w:val="30"/>
          <w:szCs w:val="30"/>
          <w:lang w:val="en-US" w:eastAsia="zh-CN"/>
        </w:rPr>
        <w:t>甲    方</w:t>
      </w:r>
      <w:r>
        <w:rPr>
          <w:rFonts w:hint="eastAsia" w:ascii="宋体" w:hAnsi="宋体" w:cs="宋体"/>
          <w:sz w:val="30"/>
          <w:szCs w:val="30"/>
        </w:rPr>
        <w:t>：</w:t>
      </w:r>
      <w:r>
        <w:rPr>
          <w:rFonts w:hint="eastAsia" w:ascii="宋体" w:hAnsi="宋体" w:cs="宋体"/>
          <w:b/>
          <w:sz w:val="30"/>
          <w:szCs w:val="30"/>
          <w:u w:val="single"/>
        </w:rPr>
        <w:t xml:space="preserve">                                </w:t>
      </w:r>
    </w:p>
    <w:p w14:paraId="09CC5976">
      <w:pPr>
        <w:adjustRightInd w:val="0"/>
        <w:snapToGrid w:val="0"/>
        <w:spacing w:line="600" w:lineRule="auto"/>
        <w:ind w:firstLine="602" w:firstLineChars="200"/>
        <w:jc w:val="left"/>
        <w:rPr>
          <w:rFonts w:hint="eastAsia" w:ascii="宋体" w:hAnsi="宋体" w:cs="宋体"/>
          <w:sz w:val="30"/>
          <w:szCs w:val="30"/>
        </w:rPr>
      </w:pPr>
      <w:r>
        <w:rPr>
          <w:rFonts w:hint="eastAsia" w:ascii="宋体" w:hAnsi="宋体" w:cs="宋体"/>
          <w:b/>
          <w:sz w:val="30"/>
          <w:szCs w:val="30"/>
          <w:lang w:val="en-US" w:eastAsia="zh-CN"/>
        </w:rPr>
        <w:t xml:space="preserve">乙   </w:t>
      </w:r>
      <w:r>
        <w:rPr>
          <w:rFonts w:hint="eastAsia" w:ascii="宋体" w:hAnsi="宋体" w:cs="宋体"/>
          <w:b/>
          <w:sz w:val="30"/>
          <w:szCs w:val="30"/>
        </w:rPr>
        <w:t xml:space="preserve"> 方</w:t>
      </w:r>
      <w:r>
        <w:rPr>
          <w:rFonts w:hint="eastAsia" w:ascii="宋体" w:hAnsi="宋体" w:cs="宋体"/>
          <w:sz w:val="30"/>
          <w:szCs w:val="30"/>
        </w:rPr>
        <w:t>：</w:t>
      </w:r>
      <w:r>
        <w:rPr>
          <w:rFonts w:hint="eastAsia" w:ascii="宋体" w:hAnsi="宋体" w:cs="宋体"/>
          <w:b/>
          <w:sz w:val="30"/>
          <w:szCs w:val="30"/>
          <w:u w:val="single"/>
        </w:rPr>
        <w:t xml:space="preserve">                               </w:t>
      </w:r>
    </w:p>
    <w:p w14:paraId="6FB03EE7">
      <w:pPr>
        <w:adjustRightInd w:val="0"/>
        <w:snapToGrid w:val="0"/>
        <w:spacing w:line="600" w:lineRule="auto"/>
        <w:ind w:firstLine="602" w:firstLineChars="200"/>
        <w:jc w:val="left"/>
        <w:rPr>
          <w:rFonts w:hint="eastAsia" w:ascii="宋体" w:hAnsi="宋体" w:cs="宋体"/>
          <w:b/>
          <w:bCs/>
          <w:sz w:val="30"/>
          <w:szCs w:val="30"/>
        </w:rPr>
      </w:pPr>
      <w:r>
        <w:rPr>
          <w:rFonts w:hint="eastAsia" w:ascii="宋体" w:hAnsi="宋体" w:cs="宋体"/>
          <w:b/>
          <w:sz w:val="30"/>
          <w:szCs w:val="30"/>
        </w:rPr>
        <w:t>签约日期</w:t>
      </w:r>
      <w:r>
        <w:rPr>
          <w:rFonts w:hint="eastAsia" w:ascii="宋体" w:hAnsi="宋体" w:cs="宋体"/>
          <w:sz w:val="30"/>
          <w:szCs w:val="30"/>
        </w:rPr>
        <w:t>：</w:t>
      </w:r>
      <w:r>
        <w:rPr>
          <w:rFonts w:hint="eastAsia" w:ascii="宋体" w:hAnsi="宋体" w:cs="宋体"/>
          <w:b/>
          <w:sz w:val="30"/>
          <w:szCs w:val="30"/>
          <w:u w:val="single"/>
        </w:rPr>
        <w:t xml:space="preserve">          年     月     日      </w:t>
      </w:r>
    </w:p>
    <w:p w14:paraId="07A18818">
      <w:pPr>
        <w:spacing w:line="220" w:lineRule="atLeast"/>
        <w:ind w:firstLine="602" w:firstLineChars="200"/>
        <w:rPr>
          <w:rFonts w:hint="eastAsia" w:ascii="宋体" w:hAnsi="宋体" w:cs="宋体"/>
          <w:sz w:val="30"/>
          <w:szCs w:val="30"/>
          <w:u w:val="single"/>
        </w:rPr>
      </w:pPr>
      <w:r>
        <w:rPr>
          <w:rFonts w:hint="eastAsia" w:ascii="宋体" w:hAnsi="宋体" w:cs="宋体"/>
          <w:b/>
          <w:sz w:val="30"/>
          <w:szCs w:val="30"/>
        </w:rPr>
        <w:t>签约地点</w:t>
      </w:r>
      <w:r>
        <w:rPr>
          <w:rFonts w:hint="eastAsia" w:ascii="宋体" w:hAnsi="宋体" w:cs="宋体"/>
          <w:bCs/>
          <w:sz w:val="30"/>
          <w:szCs w:val="30"/>
        </w:rPr>
        <w:t>：</w:t>
      </w:r>
      <w:r>
        <w:rPr>
          <w:rFonts w:hint="eastAsia" w:ascii="宋体" w:hAnsi="宋体" w:cs="宋体"/>
          <w:b/>
          <w:sz w:val="30"/>
          <w:szCs w:val="30"/>
          <w:u w:val="single"/>
        </w:rPr>
        <w:t xml:space="preserve"> 江苏省常州市                 </w:t>
      </w:r>
    </w:p>
    <w:p w14:paraId="0CF202BC">
      <w:pPr>
        <w:pStyle w:val="20"/>
        <w:tabs>
          <w:tab w:val="right" w:leader="dot" w:pos="9412"/>
        </w:tabs>
        <w:adjustRightInd w:val="0"/>
        <w:snapToGrid w:val="0"/>
        <w:spacing w:line="400" w:lineRule="exact"/>
        <w:ind w:firstLine="480"/>
        <w:rPr>
          <w:rFonts w:hint="eastAsia" w:ascii="宋体" w:hAnsi="宋体" w:cs="宋体"/>
          <w:szCs w:val="24"/>
        </w:rPr>
      </w:pPr>
      <w:r>
        <w:rPr>
          <w:rFonts w:hint="eastAsia" w:ascii="宋体" w:hAnsi="宋体" w:cs="宋体"/>
          <w:szCs w:val="24"/>
        </w:rPr>
        <w:t xml:space="preserve"> </w:t>
      </w:r>
    </w:p>
    <w:p w14:paraId="7A97FEC8">
      <w:pPr>
        <w:pStyle w:val="11"/>
        <w:spacing w:line="400" w:lineRule="exact"/>
        <w:rPr>
          <w:rFonts w:hint="eastAsia" w:cs="宋体"/>
          <w:sz w:val="21"/>
          <w:szCs w:val="21"/>
        </w:rPr>
      </w:pPr>
      <w:r>
        <w:rPr>
          <w:rFonts w:hint="eastAsia" w:ascii="宋体" w:hAnsi="宋体" w:cs="宋体"/>
          <w:szCs w:val="24"/>
        </w:rPr>
        <w:br w:type="page"/>
      </w:r>
      <w:bookmarkStart w:id="10" w:name="_Hlk191633800"/>
      <w:r>
        <w:rPr>
          <w:rFonts w:hint="eastAsia" w:cs="宋体"/>
          <w:b/>
          <w:sz w:val="21"/>
          <w:szCs w:val="21"/>
          <w:lang w:val="zh-CN"/>
        </w:rPr>
        <w:t>采购人（以下称甲</w:t>
      </w:r>
      <w:r>
        <w:rPr>
          <w:rFonts w:hint="eastAsia" w:cs="宋体"/>
          <w:b/>
          <w:sz w:val="21"/>
          <w:szCs w:val="21"/>
        </w:rPr>
        <w:t xml:space="preserve">方）:                       </w:t>
      </w:r>
      <w:r>
        <w:rPr>
          <w:rFonts w:hint="eastAsia" w:cs="宋体"/>
          <w:sz w:val="21"/>
          <w:szCs w:val="21"/>
        </w:rPr>
        <w:t>合同编号：</w:t>
      </w:r>
    </w:p>
    <w:p w14:paraId="700EE420">
      <w:pPr>
        <w:pStyle w:val="11"/>
        <w:spacing w:line="400" w:lineRule="exact"/>
        <w:rPr>
          <w:rFonts w:hint="eastAsia" w:cs="宋体"/>
          <w:sz w:val="21"/>
          <w:szCs w:val="21"/>
          <w:u w:val="single"/>
        </w:rPr>
      </w:pPr>
      <w:r>
        <w:rPr>
          <w:rFonts w:hint="eastAsia" w:cs="宋体"/>
          <w:b/>
          <w:sz w:val="21"/>
          <w:szCs w:val="21"/>
        </w:rPr>
        <w:t>供应商（</w:t>
      </w:r>
      <w:r>
        <w:rPr>
          <w:rFonts w:hint="eastAsia" w:cs="宋体"/>
          <w:b/>
          <w:sz w:val="21"/>
          <w:szCs w:val="21"/>
          <w:lang w:val="zh-CN"/>
        </w:rPr>
        <w:t>以下称</w:t>
      </w:r>
      <w:r>
        <w:rPr>
          <w:rFonts w:hint="eastAsia" w:cs="宋体"/>
          <w:b/>
          <w:sz w:val="21"/>
          <w:szCs w:val="21"/>
        </w:rPr>
        <w:t xml:space="preserve">乙方）:                       </w:t>
      </w:r>
      <w:r>
        <w:rPr>
          <w:rFonts w:hint="eastAsia" w:cs="宋体"/>
          <w:sz w:val="21"/>
          <w:szCs w:val="21"/>
        </w:rPr>
        <w:t>签订地点：</w:t>
      </w:r>
    </w:p>
    <w:p w14:paraId="737745E5">
      <w:pPr>
        <w:pStyle w:val="5"/>
        <w:spacing w:line="400" w:lineRule="exact"/>
        <w:ind w:firstLine="4620" w:firstLineChars="2200"/>
        <w:rPr>
          <w:rFonts w:hint="eastAsia" w:hAnsi="宋体" w:cs="宋体"/>
          <w:b/>
          <w:sz w:val="21"/>
          <w:szCs w:val="21"/>
        </w:rPr>
      </w:pPr>
      <w:r>
        <w:rPr>
          <w:rFonts w:hint="eastAsia" w:hAnsi="宋体" w:cs="宋体"/>
          <w:sz w:val="21"/>
          <w:szCs w:val="21"/>
        </w:rPr>
        <w:t xml:space="preserve">合同时间: </w:t>
      </w:r>
      <w:r>
        <w:rPr>
          <w:rFonts w:hint="eastAsia" w:hAnsi="宋体" w:cs="宋体"/>
          <w:sz w:val="21"/>
          <w:szCs w:val="21"/>
          <w:u w:val="single"/>
        </w:rPr>
        <w:t xml:space="preserve">    年   月   日</w:t>
      </w:r>
    </w:p>
    <w:p w14:paraId="5EECB84D">
      <w:pPr>
        <w:spacing w:line="440" w:lineRule="exact"/>
        <w:ind w:firstLine="420" w:firstLineChars="200"/>
        <w:rPr>
          <w:rFonts w:hint="eastAsia" w:ascii="宋体" w:hAnsi="宋体" w:cs="宋体"/>
          <w:szCs w:val="21"/>
        </w:rPr>
      </w:pPr>
      <w:r>
        <w:rPr>
          <w:rFonts w:hint="eastAsia" w:ascii="宋体" w:hAnsi="宋体" w:cs="宋体"/>
          <w:szCs w:val="21"/>
          <w:lang w:bidi="ar"/>
        </w:rPr>
        <w:t>甲乙双方依据《中华人民共和国民法典》以及有关法律、法规的规定，经协商一致，订立本合同，以便共同遵守。</w:t>
      </w:r>
    </w:p>
    <w:p w14:paraId="730F483A">
      <w:pPr>
        <w:spacing w:line="440" w:lineRule="exact"/>
        <w:ind w:firstLine="422" w:firstLineChars="200"/>
        <w:rPr>
          <w:rFonts w:hint="eastAsia" w:ascii="宋体" w:hAnsi="宋体" w:cs="宋体"/>
          <w:b/>
          <w:szCs w:val="21"/>
        </w:rPr>
      </w:pPr>
      <w:r>
        <w:rPr>
          <w:rFonts w:hint="eastAsia" w:ascii="宋体" w:hAnsi="宋体" w:cs="宋体"/>
          <w:b/>
          <w:szCs w:val="21"/>
          <w:lang w:bidi="ar"/>
        </w:rPr>
        <w:t>第一条 合同标的</w:t>
      </w:r>
    </w:p>
    <w:p w14:paraId="5B9F634A">
      <w:pPr>
        <w:widowControl/>
        <w:adjustRightIn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lang w:bidi="ar"/>
        </w:rPr>
        <w:t>乙方根据甲方需求提供下列货物：         ，</w:t>
      </w:r>
      <w:r>
        <w:rPr>
          <w:rFonts w:hint="eastAsia" w:ascii="宋体" w:hAnsi="宋体" w:cs="宋体"/>
          <w:szCs w:val="21"/>
          <w:lang w:bidi="ar"/>
        </w:rPr>
        <w:t>系指根据合同规定乙方须承担与服务有关的所有辅助服务</w:t>
      </w:r>
      <w:r>
        <w:rPr>
          <w:rFonts w:hint="eastAsia" w:ascii="宋体" w:hAnsi="宋体" w:cs="宋体"/>
          <w:kern w:val="0"/>
          <w:szCs w:val="21"/>
          <w:lang w:bidi="ar"/>
        </w:rPr>
        <w:t>。</w:t>
      </w:r>
    </w:p>
    <w:p w14:paraId="0D4B1721">
      <w:pPr>
        <w:spacing w:line="440" w:lineRule="exact"/>
        <w:ind w:firstLine="422" w:firstLineChars="200"/>
        <w:rPr>
          <w:rFonts w:hint="eastAsia" w:ascii="宋体" w:hAnsi="宋体" w:cs="宋体"/>
          <w:b/>
          <w:szCs w:val="21"/>
        </w:rPr>
      </w:pPr>
      <w:r>
        <w:rPr>
          <w:rFonts w:hint="eastAsia" w:ascii="宋体" w:hAnsi="宋体" w:cs="宋体"/>
          <w:b/>
          <w:szCs w:val="21"/>
          <w:lang w:bidi="ar"/>
        </w:rPr>
        <w:t>第二条 合同价格</w:t>
      </w:r>
    </w:p>
    <w:p w14:paraId="750A759C">
      <w:pPr>
        <w:spacing w:line="440" w:lineRule="exact"/>
        <w:ind w:firstLine="422" w:firstLineChars="200"/>
        <w:jc w:val="left"/>
        <w:rPr>
          <w:rFonts w:hint="eastAsia" w:ascii="宋体" w:hAnsi="宋体" w:cs="宋体"/>
          <w:b/>
          <w:szCs w:val="21"/>
        </w:rPr>
      </w:pPr>
      <w:r>
        <w:rPr>
          <w:rFonts w:hint="eastAsia" w:ascii="宋体" w:hAnsi="宋体" w:cs="宋体"/>
          <w:b/>
          <w:szCs w:val="21"/>
          <w:lang w:bidi="ar"/>
        </w:rPr>
        <w:t>签约合同总价（人民币，下同）：</w:t>
      </w:r>
      <w:r>
        <w:rPr>
          <w:rFonts w:hint="eastAsia" w:ascii="宋体" w:hAnsi="宋体" w:cs="宋体"/>
          <w:b/>
          <w:szCs w:val="21"/>
          <w:u w:val="single"/>
          <w:lang w:bidi="ar"/>
        </w:rPr>
        <w:t xml:space="preserve">             元</w:t>
      </w:r>
      <w:r>
        <w:rPr>
          <w:rFonts w:hint="eastAsia" w:ascii="宋体" w:hAnsi="宋体" w:cs="宋体"/>
          <w:b/>
          <w:szCs w:val="21"/>
          <w:lang w:bidi="ar"/>
        </w:rPr>
        <w:t>（小写       ）</w:t>
      </w:r>
      <w:r>
        <w:rPr>
          <w:rFonts w:hint="eastAsia" w:ascii="宋体" w:hAnsi="宋体" w:cs="宋体"/>
          <w:b/>
          <w:szCs w:val="21"/>
          <w:lang w:eastAsia="zh-CN" w:bidi="ar"/>
        </w:rPr>
        <w:t>，</w:t>
      </w:r>
      <w:r>
        <w:rPr>
          <w:rFonts w:hint="eastAsia" w:ascii="宋体" w:hAnsi="宋体" w:eastAsia="宋体" w:cs="宋体"/>
          <w:b/>
          <w:bCs/>
          <w:color w:val="000000"/>
          <w:sz w:val="21"/>
          <w:szCs w:val="21"/>
          <w:lang w:val="en-US" w:eastAsia="zh-CN"/>
        </w:rPr>
        <w:t>其中</w:t>
      </w:r>
      <w:r>
        <w:rPr>
          <w:rFonts w:hint="eastAsia" w:ascii="宋体" w:hAnsi="宋体" w:eastAsia="宋体" w:cs="宋体"/>
          <w:b/>
          <w:bCs/>
          <w:szCs w:val="22"/>
          <w:u w:val="single"/>
        </w:rPr>
        <w:t>税率  %，税额为</w:t>
      </w:r>
      <w:r>
        <w:rPr>
          <w:rFonts w:hint="eastAsia" w:ascii="宋体" w:hAnsi="宋体" w:cs="宋体"/>
          <w:b/>
          <w:szCs w:val="21"/>
          <w:lang w:bidi="ar"/>
        </w:rPr>
        <w:t>（人民币，下同）：</w:t>
      </w:r>
      <w:r>
        <w:rPr>
          <w:rFonts w:hint="eastAsia" w:ascii="宋体" w:hAnsi="宋体" w:cs="宋体"/>
          <w:b/>
          <w:szCs w:val="21"/>
          <w:u w:val="single"/>
          <w:lang w:bidi="ar"/>
        </w:rPr>
        <w:t xml:space="preserve">             元</w:t>
      </w:r>
      <w:r>
        <w:rPr>
          <w:rFonts w:hint="eastAsia" w:ascii="宋体" w:hAnsi="宋体" w:cs="宋体"/>
          <w:b/>
          <w:szCs w:val="21"/>
          <w:lang w:bidi="ar"/>
        </w:rPr>
        <w:t>（小写       ）</w:t>
      </w:r>
      <w:r>
        <w:rPr>
          <w:rFonts w:hint="eastAsia" w:ascii="宋体" w:hAnsi="宋体" w:eastAsia="宋体" w:cs="宋体"/>
          <w:b/>
          <w:bCs/>
          <w:szCs w:val="22"/>
          <w:u w:val="single"/>
        </w:rPr>
        <w:t xml:space="preserve">    </w:t>
      </w:r>
      <w:r>
        <w:rPr>
          <w:rFonts w:hint="eastAsia" w:ascii="宋体" w:hAnsi="宋体" w:eastAsia="宋体" w:cs="宋体"/>
          <w:b/>
          <w:bCs/>
          <w:szCs w:val="22"/>
          <w:u w:val="single"/>
          <w:lang w:eastAsia="zh-CN"/>
        </w:rPr>
        <w:t>，</w:t>
      </w:r>
      <w:r>
        <w:rPr>
          <w:rFonts w:hint="eastAsia" w:ascii="宋体" w:hAnsi="宋体" w:eastAsia="宋体" w:cs="宋体"/>
          <w:b/>
          <w:bCs/>
          <w:szCs w:val="22"/>
          <w:u w:val="single"/>
          <w:lang w:val="en-US" w:eastAsia="zh-CN"/>
        </w:rPr>
        <w:t>不含税价为</w:t>
      </w:r>
      <w:r>
        <w:rPr>
          <w:rFonts w:hint="eastAsia" w:ascii="宋体" w:hAnsi="宋体" w:cs="宋体"/>
          <w:b/>
          <w:szCs w:val="21"/>
          <w:lang w:bidi="ar"/>
        </w:rPr>
        <w:t>（人民币，下同）：</w:t>
      </w:r>
      <w:r>
        <w:rPr>
          <w:rFonts w:hint="eastAsia" w:ascii="宋体" w:hAnsi="宋体" w:cs="宋体"/>
          <w:b/>
          <w:szCs w:val="21"/>
          <w:u w:val="single"/>
          <w:lang w:bidi="ar"/>
        </w:rPr>
        <w:t xml:space="preserve">             元</w:t>
      </w:r>
      <w:r>
        <w:rPr>
          <w:rFonts w:hint="eastAsia" w:ascii="宋体" w:hAnsi="宋体" w:cs="宋体"/>
          <w:b/>
          <w:szCs w:val="21"/>
          <w:lang w:bidi="ar"/>
        </w:rPr>
        <w:t>（小写       ）。</w:t>
      </w:r>
      <w:r>
        <w:rPr>
          <w:rFonts w:hint="eastAsia" w:ascii="宋体" w:hAnsi="宋体" w:cs="宋体"/>
          <w:szCs w:val="21"/>
          <w:lang w:val="zh-CN"/>
        </w:rPr>
        <w:t>（</w:t>
      </w:r>
      <w:r>
        <w:rPr>
          <w:rFonts w:hint="eastAsia" w:ascii="宋体" w:hAnsi="宋体" w:cs="宋体"/>
          <w:szCs w:val="21"/>
        </w:rPr>
        <w:t>需开具税率为</w:t>
      </w:r>
      <w:r>
        <w:rPr>
          <w:rFonts w:hint="eastAsia" w:ascii="宋体" w:hAnsi="宋体" w:cs="宋体"/>
          <w:szCs w:val="21"/>
          <w:u w:val="single"/>
        </w:rPr>
        <w:t xml:space="preserve">    %</w:t>
      </w:r>
      <w:r>
        <w:rPr>
          <w:rFonts w:hint="eastAsia" w:ascii="宋体" w:hAnsi="宋体" w:cs="宋体"/>
          <w:szCs w:val="21"/>
        </w:rPr>
        <w:t>的增值税专</w:t>
      </w:r>
      <w:r>
        <w:rPr>
          <w:rFonts w:hint="eastAsia" w:ascii="宋体" w:hAnsi="宋体" w:cs="宋体"/>
          <w:szCs w:val="21"/>
          <w:highlight w:val="none"/>
        </w:rPr>
        <w:t>用发票）</w:t>
      </w:r>
      <w:r>
        <w:rPr>
          <w:rFonts w:hint="eastAsia" w:ascii="宋体" w:hAnsi="宋体" w:cs="宋体"/>
          <w:szCs w:val="21"/>
          <w:highlight w:val="none"/>
          <w:lang w:eastAsia="zh-CN"/>
        </w:rPr>
        <w:t>。</w:t>
      </w:r>
      <w:r>
        <w:rPr>
          <w:rFonts w:hint="eastAsia" w:ascii="宋体" w:hAnsi="宋体" w:cs="宋体"/>
          <w:b/>
          <w:szCs w:val="21"/>
          <w:lang w:bidi="ar"/>
        </w:rPr>
        <w:t xml:space="preserve"> 具体清单详见附件。</w:t>
      </w:r>
    </w:p>
    <w:p w14:paraId="24CDD6CC">
      <w:pPr>
        <w:spacing w:line="440" w:lineRule="exact"/>
        <w:ind w:firstLine="420" w:firstLineChars="200"/>
        <w:rPr>
          <w:rFonts w:hint="eastAsia" w:ascii="宋体" w:hAnsi="宋体" w:cs="宋体"/>
          <w:szCs w:val="21"/>
          <w:lang w:bidi="ar"/>
        </w:rPr>
      </w:pPr>
      <w:r>
        <w:rPr>
          <w:rFonts w:hint="eastAsia" w:ascii="宋体" w:hAnsi="宋体" w:cs="宋体"/>
          <w:szCs w:val="21"/>
          <w:lang w:bidi="ar"/>
        </w:rPr>
        <w:t>本项目合同总价包括</w:t>
      </w:r>
      <w:r>
        <w:rPr>
          <w:rFonts w:hint="eastAsia" w:ascii="宋体" w:hAnsi="宋体" w:cs="宋体"/>
          <w:szCs w:val="21"/>
          <w:lang w:val="en-US" w:eastAsia="zh-CN" w:bidi="ar"/>
        </w:rPr>
        <w:t>询价</w:t>
      </w:r>
      <w:r>
        <w:rPr>
          <w:rFonts w:hint="eastAsia" w:ascii="宋体" w:hAnsi="宋体" w:cs="宋体"/>
          <w:szCs w:val="21"/>
          <w:lang w:bidi="ar"/>
        </w:rPr>
        <w:t>文件所确定的招标范围相应货物和服务的供货、包装、运输、保险、辅助设备、安装调试、管理、维护（包括质保期内的一切维修、保养、更换零部件、人工等伴随服务）、售后服务、劳务、培训、验收、设备、工具、耗材、运送工具及耗材、利润、风险、税金及政策性文件规定等各项应有费用，以及为完成该项货物或者服务项目所涉及到的一切相关费用，</w:t>
      </w:r>
      <w:r>
        <w:rPr>
          <w:rFonts w:hint="eastAsia" w:ascii="宋体" w:hAnsi="宋体" w:cs="宋体"/>
          <w:szCs w:val="21"/>
          <w:lang w:val="en-US" w:eastAsia="zh-CN" w:bidi="ar"/>
        </w:rPr>
        <w:t>甲方</w:t>
      </w:r>
      <w:r>
        <w:rPr>
          <w:rFonts w:hint="eastAsia" w:ascii="宋体" w:hAnsi="宋体" w:cs="宋体"/>
          <w:szCs w:val="21"/>
          <w:lang w:bidi="ar"/>
        </w:rPr>
        <w:t>不再支付其他任何费用。</w:t>
      </w:r>
    </w:p>
    <w:p w14:paraId="2EAEF524">
      <w:pPr>
        <w:spacing w:line="440" w:lineRule="exact"/>
        <w:ind w:firstLine="422" w:firstLineChars="200"/>
        <w:rPr>
          <w:rFonts w:hint="eastAsia" w:ascii="宋体" w:hAnsi="宋体" w:cs="宋体"/>
          <w:b/>
          <w:szCs w:val="21"/>
        </w:rPr>
      </w:pPr>
      <w:r>
        <w:rPr>
          <w:rFonts w:hint="eastAsia" w:ascii="宋体" w:hAnsi="宋体" w:cs="宋体"/>
          <w:b/>
          <w:szCs w:val="21"/>
          <w:lang w:bidi="ar"/>
        </w:rPr>
        <w:t>第三条 组成本合同的有关文件</w:t>
      </w:r>
    </w:p>
    <w:p w14:paraId="7293A642">
      <w:pPr>
        <w:spacing w:line="440" w:lineRule="exact"/>
        <w:ind w:firstLine="420" w:firstLineChars="200"/>
        <w:rPr>
          <w:rFonts w:hint="eastAsia" w:ascii="宋体" w:hAnsi="宋体" w:cs="宋体"/>
          <w:szCs w:val="21"/>
        </w:rPr>
      </w:pPr>
      <w:r>
        <w:rPr>
          <w:rFonts w:hint="eastAsia" w:ascii="宋体" w:hAnsi="宋体" w:cs="宋体"/>
          <w:szCs w:val="21"/>
          <w:lang w:bidi="ar"/>
        </w:rPr>
        <w:t>下列与本次采购活动有关的文件及有关附件是本合同不可分割的组成部分，与本合同具有同等法律效力，这些文件包括但不限于：</w:t>
      </w:r>
    </w:p>
    <w:p w14:paraId="506D866A">
      <w:pPr>
        <w:spacing w:line="440" w:lineRule="exact"/>
        <w:ind w:firstLine="420" w:firstLineChars="200"/>
        <w:rPr>
          <w:rFonts w:hint="eastAsia" w:ascii="宋体" w:hAnsi="宋体" w:cs="宋体"/>
          <w:szCs w:val="21"/>
        </w:rPr>
      </w:pPr>
      <w:r>
        <w:rPr>
          <w:rFonts w:hint="eastAsia" w:ascii="宋体" w:hAnsi="宋体" w:cs="宋体"/>
          <w:szCs w:val="21"/>
          <w:lang w:bidi="ar"/>
        </w:rPr>
        <w:t>（1）</w:t>
      </w:r>
      <w:r>
        <w:rPr>
          <w:rFonts w:hint="eastAsia" w:ascii="宋体" w:hAnsi="宋体" w:cs="宋体"/>
          <w:szCs w:val="21"/>
          <w:lang w:val="en-US" w:eastAsia="zh-CN" w:bidi="ar"/>
        </w:rPr>
        <w:t>询价文件</w:t>
      </w:r>
      <w:r>
        <w:rPr>
          <w:rFonts w:hint="eastAsia" w:ascii="宋体" w:hAnsi="宋体" w:cs="宋体"/>
          <w:szCs w:val="21"/>
          <w:lang w:bidi="ar"/>
        </w:rPr>
        <w:t>（编号：）                （2）</w:t>
      </w:r>
      <w:r>
        <w:rPr>
          <w:rFonts w:hint="eastAsia" w:cs="宋体"/>
          <w:color w:val="auto"/>
          <w:sz w:val="21"/>
          <w:szCs w:val="21"/>
          <w:highlight w:val="none"/>
        </w:rPr>
        <w:t>乙方提供的竞标文件</w:t>
      </w:r>
      <w:r>
        <w:rPr>
          <w:rFonts w:hint="eastAsia" w:ascii="宋体" w:hAnsi="宋体" w:cs="宋体"/>
          <w:szCs w:val="21"/>
          <w:lang w:bidi="ar"/>
        </w:rPr>
        <w:t xml:space="preserve">； </w:t>
      </w:r>
    </w:p>
    <w:p w14:paraId="29458DC7">
      <w:pPr>
        <w:spacing w:line="440" w:lineRule="exact"/>
        <w:ind w:firstLine="420" w:firstLineChars="200"/>
        <w:rPr>
          <w:rFonts w:hint="eastAsia" w:ascii="宋体" w:hAnsi="宋体" w:cs="宋体"/>
          <w:szCs w:val="21"/>
        </w:rPr>
      </w:pPr>
      <w:r>
        <w:rPr>
          <w:rFonts w:hint="eastAsia" w:ascii="宋体" w:hAnsi="宋体" w:cs="宋体"/>
          <w:szCs w:val="21"/>
          <w:lang w:bidi="ar"/>
        </w:rPr>
        <w:t>（3）成交通知书；                        （4）甲乙双方商定的其他文件等。</w:t>
      </w:r>
    </w:p>
    <w:p w14:paraId="2F26F028">
      <w:pPr>
        <w:spacing w:line="440" w:lineRule="exact"/>
        <w:ind w:firstLine="422" w:firstLineChars="200"/>
        <w:rPr>
          <w:rFonts w:hint="eastAsia" w:ascii="宋体" w:hAnsi="宋体" w:cs="宋体"/>
          <w:szCs w:val="21"/>
        </w:rPr>
      </w:pPr>
      <w:r>
        <w:rPr>
          <w:rFonts w:hint="eastAsia" w:ascii="宋体" w:hAnsi="宋体" w:cs="宋体"/>
          <w:b/>
          <w:szCs w:val="21"/>
          <w:lang w:bidi="ar"/>
        </w:rPr>
        <w:t xml:space="preserve">第四条 </w:t>
      </w:r>
      <w:r>
        <w:rPr>
          <w:rFonts w:hint="eastAsia" w:ascii="宋体" w:hAnsi="宋体" w:cs="宋体"/>
          <w:b/>
          <w:bCs/>
          <w:szCs w:val="21"/>
          <w:lang w:bidi="ar"/>
        </w:rPr>
        <w:t>质量保证</w:t>
      </w:r>
    </w:p>
    <w:p w14:paraId="40FBCBDE">
      <w:pPr>
        <w:spacing w:line="440" w:lineRule="exact"/>
        <w:ind w:firstLine="420" w:firstLineChars="200"/>
        <w:rPr>
          <w:rFonts w:hint="eastAsia" w:ascii="宋体" w:hAnsi="宋体" w:cs="宋体"/>
          <w:szCs w:val="21"/>
        </w:rPr>
      </w:pPr>
      <w:r>
        <w:rPr>
          <w:rFonts w:hint="eastAsia" w:ascii="宋体" w:hAnsi="宋体" w:cs="宋体"/>
          <w:szCs w:val="21"/>
          <w:lang w:bidi="ar"/>
        </w:rPr>
        <w:t>所提供货物必须符合国家有关标准;保证货物是全新、未使用过的原装合格正品,并保证货物在正常使用和保养条件下,符合其产品的质量保证要求。在使用过程中,一旦发现供应商所提供的货物不是原装合格正品,经查实后,供应商必须无条件接受退货,并按原价货款退还采购人,同时,采购人按有关规定有权要求索赔</w:t>
      </w:r>
      <w:r>
        <w:rPr>
          <w:rFonts w:hint="eastAsia" w:ascii="宋体" w:hAnsi="宋体" w:cs="宋体"/>
          <w:szCs w:val="21"/>
          <w:lang w:val="en-US" w:eastAsia="zh-CN" w:bidi="ar"/>
        </w:rPr>
        <w:t>并要求供应商承担违约责任</w:t>
      </w:r>
      <w:r>
        <w:rPr>
          <w:rFonts w:hint="eastAsia" w:ascii="宋体" w:hAnsi="宋体" w:cs="宋体"/>
          <w:szCs w:val="21"/>
          <w:lang w:bidi="ar"/>
        </w:rPr>
        <w:t>。</w:t>
      </w:r>
    </w:p>
    <w:p w14:paraId="39993F97">
      <w:pPr>
        <w:spacing w:line="440" w:lineRule="exact"/>
        <w:ind w:firstLine="422" w:firstLineChars="200"/>
        <w:rPr>
          <w:rFonts w:hint="eastAsia" w:ascii="宋体" w:hAnsi="宋体" w:cs="宋体"/>
          <w:b/>
          <w:bCs/>
          <w:szCs w:val="21"/>
        </w:rPr>
      </w:pPr>
      <w:r>
        <w:rPr>
          <w:rFonts w:hint="eastAsia" w:ascii="宋体" w:hAnsi="宋体" w:cs="宋体"/>
          <w:b/>
          <w:bCs/>
          <w:szCs w:val="21"/>
          <w:lang w:bidi="ar"/>
        </w:rPr>
        <w:t>第五条 交货和验收</w:t>
      </w:r>
    </w:p>
    <w:p w14:paraId="7F1DE145">
      <w:pPr>
        <w:adjustRightInd w:val="0"/>
        <w:snapToGrid w:val="0"/>
        <w:spacing w:line="460" w:lineRule="exact"/>
        <w:ind w:firstLine="420" w:firstLineChars="200"/>
        <w:rPr>
          <w:rFonts w:hint="eastAsia" w:ascii="宋体" w:hAnsi="宋体" w:cs="宋体"/>
          <w:szCs w:val="21"/>
        </w:rPr>
      </w:pPr>
      <w:r>
        <w:rPr>
          <w:rFonts w:hint="eastAsia" w:ascii="宋体" w:hAnsi="宋体" w:cs="宋体"/>
          <w:szCs w:val="21"/>
          <w:lang w:bidi="ar"/>
        </w:rPr>
        <w:t>1.按照现行国家标准、行业标准、企业标准和采购合同约定对每一项技术、服务、安全标准的履约情况进行确认。甲方有权根据需要设置出厂检验、到货检验、安装调试检验、配套服务检验等多重验收环节。如检验不合格或不符合质量要求,乙方</w:t>
      </w:r>
      <w:r>
        <w:rPr>
          <w:rFonts w:hint="eastAsia" w:ascii="宋体" w:hAnsi="宋体" w:cs="宋体"/>
          <w:szCs w:val="21"/>
          <w:lang w:val="en-US" w:eastAsia="zh-CN" w:bidi="ar"/>
        </w:rPr>
        <w:t>应</w:t>
      </w:r>
      <w:r>
        <w:rPr>
          <w:rFonts w:hint="eastAsia" w:ascii="宋体" w:hAnsi="宋体" w:cs="宋体"/>
          <w:szCs w:val="21"/>
          <w:lang w:bidi="ar"/>
        </w:rPr>
        <w:t>无条件</w:t>
      </w:r>
      <w:r>
        <w:rPr>
          <w:rFonts w:hint="eastAsia" w:ascii="宋体" w:hAnsi="宋体" w:cs="宋体"/>
          <w:szCs w:val="21"/>
          <w:lang w:val="en-US" w:eastAsia="zh-CN" w:bidi="ar"/>
        </w:rPr>
        <w:t>退款</w:t>
      </w:r>
      <w:r>
        <w:rPr>
          <w:rFonts w:hint="eastAsia" w:ascii="宋体" w:hAnsi="宋体" w:cs="宋体"/>
          <w:szCs w:val="21"/>
          <w:lang w:bidi="ar"/>
        </w:rPr>
        <w:t>退货,</w:t>
      </w:r>
      <w:r>
        <w:rPr>
          <w:rFonts w:hint="eastAsia" w:ascii="宋体" w:hAnsi="宋体" w:cs="宋体"/>
          <w:szCs w:val="21"/>
          <w:lang w:val="en-US" w:eastAsia="zh-CN" w:bidi="ar"/>
        </w:rPr>
        <w:t>并</w:t>
      </w:r>
      <w:r>
        <w:rPr>
          <w:rFonts w:hint="eastAsia" w:ascii="宋体" w:hAnsi="宋体" w:cs="宋体"/>
          <w:szCs w:val="21"/>
          <w:lang w:bidi="ar"/>
        </w:rPr>
        <w:t>承担甲方</w:t>
      </w:r>
      <w:r>
        <w:rPr>
          <w:rFonts w:hint="eastAsia" w:ascii="宋体" w:hAnsi="宋体" w:cs="宋体"/>
          <w:szCs w:val="21"/>
          <w:lang w:val="en-US" w:eastAsia="zh-CN" w:bidi="ar"/>
        </w:rPr>
        <w:t>由此产生的</w:t>
      </w:r>
      <w:r>
        <w:rPr>
          <w:rFonts w:hint="eastAsia" w:ascii="宋体" w:hAnsi="宋体" w:cs="宋体"/>
          <w:szCs w:val="21"/>
          <w:lang w:bidi="ar"/>
        </w:rPr>
        <w:t>一切损失。</w:t>
      </w:r>
    </w:p>
    <w:p w14:paraId="4DBF0C58">
      <w:pPr>
        <w:spacing w:line="440" w:lineRule="exact"/>
        <w:ind w:firstLine="420" w:firstLineChars="200"/>
        <w:rPr>
          <w:rFonts w:hint="eastAsia" w:ascii="宋体" w:hAnsi="宋体" w:cs="宋体"/>
          <w:szCs w:val="21"/>
        </w:rPr>
      </w:pPr>
      <w:r>
        <w:rPr>
          <w:rFonts w:hint="eastAsia" w:ascii="宋体" w:hAnsi="宋体" w:cs="宋体"/>
          <w:szCs w:val="21"/>
          <w:lang w:bidi="ar"/>
        </w:rPr>
        <w:t>2.乙方每批次交付的货物应当完全符合合同或者询价通知书所规定的货物名称、数量和规格要求。乙方提供的货物不符合要求的，甲方有权拒收货物，由此造成的损失，由乙方承担。</w:t>
      </w:r>
    </w:p>
    <w:p w14:paraId="58708F0F">
      <w:pPr>
        <w:spacing w:line="440" w:lineRule="exact"/>
        <w:ind w:firstLine="420" w:firstLineChars="200"/>
        <w:rPr>
          <w:rFonts w:hint="eastAsia" w:ascii="宋体" w:hAnsi="宋体" w:cs="宋体"/>
          <w:szCs w:val="21"/>
        </w:rPr>
      </w:pPr>
      <w:r>
        <w:rPr>
          <w:rFonts w:hint="eastAsia" w:ascii="宋体" w:hAnsi="宋体" w:cs="宋体"/>
          <w:szCs w:val="21"/>
          <w:lang w:bidi="ar"/>
        </w:rPr>
        <w:t>3.乙方应保证将货物按照国家或专业标准包装、确保货物安全无损运抵合同规定的交货地点，双方当场验收签字。货物的到货验收包括：名称、规格、数量及货物外观包装是否完好。</w:t>
      </w:r>
    </w:p>
    <w:p w14:paraId="5F9CCC84">
      <w:pPr>
        <w:adjustRightInd w:val="0"/>
        <w:snapToGrid w:val="0"/>
        <w:spacing w:line="460" w:lineRule="exact"/>
        <w:ind w:firstLine="420" w:firstLineChars="200"/>
        <w:rPr>
          <w:rFonts w:hint="default" w:ascii="宋体" w:hAnsi="宋体" w:eastAsia="宋体" w:cs="宋体"/>
          <w:szCs w:val="21"/>
          <w:lang w:val="en-US" w:eastAsia="zh-CN"/>
        </w:rPr>
      </w:pPr>
      <w:r>
        <w:rPr>
          <w:rFonts w:hint="eastAsia" w:ascii="宋体" w:hAnsi="宋体" w:cs="宋体"/>
          <w:szCs w:val="21"/>
          <w:lang w:bidi="ar"/>
        </w:rPr>
        <w:t>4.货物出现全部或部分未达到本合同所约定的技术指标，或达不到甲方使用条件的，甲方有权要求乙方对货物进行免费更换，直至合格为止。</w:t>
      </w:r>
      <w:r>
        <w:rPr>
          <w:rFonts w:hint="eastAsia" w:ascii="宋体" w:hAnsi="宋体" w:cs="宋体"/>
          <w:szCs w:val="21"/>
          <w:lang w:val="en-US" w:eastAsia="zh-CN" w:bidi="ar"/>
        </w:rPr>
        <w:t>更换后仍不能达到使用条件的，甲方有权解除合同，</w:t>
      </w:r>
      <w:r>
        <w:rPr>
          <w:rFonts w:hint="eastAsia" w:ascii="宋体" w:hAnsi="宋体" w:cs="宋体"/>
          <w:szCs w:val="21"/>
          <w:lang w:bidi="ar"/>
        </w:rPr>
        <w:t>乙方</w:t>
      </w:r>
      <w:r>
        <w:rPr>
          <w:rFonts w:hint="eastAsia" w:ascii="宋体" w:hAnsi="宋体" w:cs="宋体"/>
          <w:szCs w:val="21"/>
          <w:lang w:val="en-US" w:eastAsia="zh-CN" w:bidi="ar"/>
        </w:rPr>
        <w:t>应</w:t>
      </w:r>
      <w:r>
        <w:rPr>
          <w:rFonts w:hint="eastAsia" w:ascii="宋体" w:hAnsi="宋体" w:cs="宋体"/>
          <w:szCs w:val="21"/>
          <w:lang w:bidi="ar"/>
        </w:rPr>
        <w:t>无条件</w:t>
      </w:r>
      <w:r>
        <w:rPr>
          <w:rFonts w:hint="eastAsia" w:ascii="宋体" w:hAnsi="宋体" w:cs="宋体"/>
          <w:szCs w:val="21"/>
          <w:lang w:val="en-US" w:eastAsia="zh-CN" w:bidi="ar"/>
        </w:rPr>
        <w:t>退款退货</w:t>
      </w:r>
      <w:r>
        <w:rPr>
          <w:rFonts w:hint="eastAsia" w:ascii="宋体" w:hAnsi="宋体" w:cs="宋体"/>
          <w:szCs w:val="21"/>
          <w:lang w:bidi="ar"/>
        </w:rPr>
        <w:t>,</w:t>
      </w:r>
      <w:r>
        <w:rPr>
          <w:rFonts w:hint="eastAsia" w:ascii="宋体" w:hAnsi="宋体" w:cs="宋体"/>
          <w:szCs w:val="21"/>
          <w:lang w:val="en-US" w:eastAsia="zh-CN" w:bidi="ar"/>
        </w:rPr>
        <w:t>并</w:t>
      </w:r>
      <w:r>
        <w:rPr>
          <w:rFonts w:hint="eastAsia" w:ascii="宋体" w:hAnsi="宋体" w:cs="宋体"/>
          <w:szCs w:val="21"/>
          <w:lang w:bidi="ar"/>
        </w:rPr>
        <w:t>承担甲方</w:t>
      </w:r>
      <w:r>
        <w:rPr>
          <w:rFonts w:hint="eastAsia" w:ascii="宋体" w:hAnsi="宋体" w:cs="宋体"/>
          <w:szCs w:val="21"/>
          <w:lang w:val="en-US" w:eastAsia="zh-CN" w:bidi="ar"/>
        </w:rPr>
        <w:t>由此产生的</w:t>
      </w:r>
      <w:r>
        <w:rPr>
          <w:rFonts w:hint="eastAsia" w:ascii="宋体" w:hAnsi="宋体" w:cs="宋体"/>
          <w:szCs w:val="21"/>
          <w:lang w:bidi="ar"/>
        </w:rPr>
        <w:t>一切损失。</w:t>
      </w:r>
    </w:p>
    <w:p w14:paraId="5F54E747">
      <w:pPr>
        <w:spacing w:line="440" w:lineRule="exact"/>
        <w:ind w:firstLine="420" w:firstLineChars="200"/>
        <w:rPr>
          <w:rFonts w:hint="eastAsia" w:ascii="宋体" w:hAnsi="宋体" w:cs="宋体"/>
          <w:b/>
          <w:szCs w:val="21"/>
        </w:rPr>
      </w:pPr>
      <w:r>
        <w:rPr>
          <w:rFonts w:hint="eastAsia" w:ascii="宋体" w:hAnsi="宋体" w:cs="宋体"/>
          <w:szCs w:val="21"/>
          <w:lang w:bidi="ar"/>
        </w:rPr>
        <w:t>因乙方原因所产生的所有费用均由乙方负担。</w:t>
      </w:r>
    </w:p>
    <w:p w14:paraId="3C13FEBA">
      <w:pPr>
        <w:adjustRightInd w:val="0"/>
        <w:snapToGrid w:val="0"/>
        <w:spacing w:line="440" w:lineRule="exact"/>
        <w:ind w:firstLine="422" w:firstLineChars="200"/>
        <w:rPr>
          <w:rFonts w:hint="eastAsia" w:ascii="宋体" w:hAnsi="宋体" w:cs="宋体"/>
          <w:b/>
          <w:szCs w:val="21"/>
        </w:rPr>
      </w:pPr>
      <w:r>
        <w:rPr>
          <w:rFonts w:hint="eastAsia" w:ascii="宋体" w:hAnsi="宋体" w:cs="宋体"/>
          <w:b/>
          <w:szCs w:val="21"/>
          <w:lang w:bidi="ar"/>
        </w:rPr>
        <w:t>第六条 履约保证金</w:t>
      </w:r>
    </w:p>
    <w:p w14:paraId="27D35C46">
      <w:pPr>
        <w:spacing w:line="440" w:lineRule="exact"/>
        <w:ind w:firstLine="420" w:firstLineChars="200"/>
        <w:rPr>
          <w:rFonts w:hint="eastAsia" w:ascii="宋体" w:hAnsi="宋体" w:cs="宋体"/>
          <w:szCs w:val="21"/>
        </w:rPr>
      </w:pPr>
      <w:r>
        <w:rPr>
          <w:rFonts w:hint="eastAsia" w:ascii="宋体" w:hAnsi="宋体" w:cs="宋体"/>
          <w:szCs w:val="21"/>
          <w:lang w:bidi="ar"/>
        </w:rPr>
        <w:t>1.乙方应按询价响应文件的约定提交中标合同价的10%作为履约保证金，也可自主选择以支票、汇票、本票、银行保函等非现金形式缴纳或提交。</w:t>
      </w:r>
    </w:p>
    <w:p w14:paraId="52885629">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2.如乙方未能履行合同规定的义务，甲方有权从履约保证金直接扣取。</w:t>
      </w:r>
    </w:p>
    <w:p w14:paraId="061CF4DD">
      <w:pPr>
        <w:adjustRightInd w:val="0"/>
        <w:snapToGrid w:val="0"/>
        <w:spacing w:line="440" w:lineRule="exact"/>
        <w:ind w:firstLine="420" w:firstLineChars="200"/>
        <w:rPr>
          <w:rFonts w:hint="eastAsia" w:ascii="宋体" w:hAnsi="宋体" w:cs="宋体"/>
          <w:b/>
          <w:szCs w:val="21"/>
        </w:rPr>
      </w:pPr>
      <w:r>
        <w:rPr>
          <w:rFonts w:hint="eastAsia" w:ascii="宋体" w:hAnsi="宋体" w:cs="宋体"/>
          <w:szCs w:val="21"/>
          <w:lang w:bidi="ar"/>
        </w:rPr>
        <w:t>3</w:t>
      </w:r>
      <w:r>
        <w:rPr>
          <w:rFonts w:hint="eastAsia" w:ascii="宋体" w:hAnsi="宋体" w:cs="宋体"/>
          <w:szCs w:val="21"/>
        </w:rPr>
        <w:t>履约保证金在合同履行结束后</w:t>
      </w:r>
      <w:r>
        <w:rPr>
          <w:rFonts w:hint="eastAsia" w:ascii="宋体" w:hAnsi="宋体" w:cs="宋体"/>
          <w:szCs w:val="21"/>
          <w:lang w:val="en-US" w:eastAsia="zh-CN"/>
        </w:rPr>
        <w:t>30</w:t>
      </w:r>
      <w:r>
        <w:rPr>
          <w:rFonts w:hint="eastAsia" w:ascii="宋体" w:hAnsi="宋体" w:cs="宋体"/>
          <w:szCs w:val="21"/>
        </w:rPr>
        <w:t>日内无息返还</w:t>
      </w:r>
      <w:r>
        <w:rPr>
          <w:rFonts w:hint="eastAsia" w:ascii="宋体" w:hAnsi="宋体" w:cs="宋体"/>
          <w:szCs w:val="21"/>
          <w:lang w:bidi="ar"/>
        </w:rPr>
        <w:t>。</w:t>
      </w:r>
    </w:p>
    <w:p w14:paraId="0D146B0C">
      <w:pPr>
        <w:adjustRightInd w:val="0"/>
        <w:snapToGrid w:val="0"/>
        <w:spacing w:line="440" w:lineRule="exact"/>
        <w:ind w:firstLine="422" w:firstLineChars="200"/>
        <w:rPr>
          <w:rFonts w:hint="eastAsia" w:ascii="宋体" w:hAnsi="宋体" w:cs="宋体"/>
          <w:b/>
          <w:szCs w:val="21"/>
        </w:rPr>
      </w:pPr>
      <w:r>
        <w:rPr>
          <w:rFonts w:hint="eastAsia" w:ascii="宋体" w:hAnsi="宋体" w:cs="宋体"/>
          <w:b/>
          <w:szCs w:val="21"/>
          <w:lang w:bidi="ar"/>
        </w:rPr>
        <w:t>第七条 履约期限</w:t>
      </w:r>
    </w:p>
    <w:p w14:paraId="59CD4776">
      <w:pPr>
        <w:spacing w:line="460" w:lineRule="exact"/>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lang w:eastAsia="zh-CN"/>
        </w:rPr>
        <w:t>合同签署后30天以内完成设备的安装和调试，</w:t>
      </w:r>
      <w:r>
        <w:rPr>
          <w:rFonts w:hint="eastAsia" w:ascii="宋体" w:hAnsi="宋体" w:cs="宋体"/>
          <w:color w:val="auto"/>
          <w:szCs w:val="21"/>
          <w:highlight w:val="none"/>
          <w:lang w:bidi="ar"/>
        </w:rPr>
        <w:t>自验收报告签字确认日起</w:t>
      </w:r>
      <w:r>
        <w:rPr>
          <w:rFonts w:hint="eastAsia" w:ascii="宋体" w:hAnsi="宋体" w:cs="宋体"/>
          <w:color w:val="auto"/>
          <w:szCs w:val="21"/>
          <w:highlight w:val="none"/>
          <w:lang w:val="en-US" w:eastAsia="zh-CN" w:bidi="ar"/>
        </w:rPr>
        <w:t>计算质保期</w:t>
      </w:r>
      <w:r>
        <w:rPr>
          <w:rFonts w:hint="eastAsia" w:ascii="宋体" w:hAnsi="宋体" w:cs="宋体"/>
          <w:color w:val="auto"/>
          <w:szCs w:val="21"/>
          <w:highlight w:val="none"/>
          <w:lang w:bidi="ar"/>
        </w:rPr>
        <w:t>，</w:t>
      </w:r>
      <w:r>
        <w:rPr>
          <w:rFonts w:hint="eastAsia" w:ascii="宋体" w:hAnsi="宋体" w:cs="宋体"/>
          <w:color w:val="auto"/>
          <w:highlight w:val="none"/>
          <w:lang w:eastAsia="zh-CN"/>
        </w:rPr>
        <w:t xml:space="preserve">质保期两年。       </w:t>
      </w:r>
    </w:p>
    <w:p w14:paraId="2ECE921C">
      <w:pPr>
        <w:adjustRightInd w:val="0"/>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bidi="ar"/>
        </w:rPr>
        <w:t>第八条 合同款结算及支付</w:t>
      </w:r>
    </w:p>
    <w:p w14:paraId="27374ED3">
      <w:pPr>
        <w:spacing w:line="440" w:lineRule="exact"/>
        <w:ind w:firstLine="420" w:firstLineChars="200"/>
        <w:rPr>
          <w:rFonts w:hint="eastAsia" w:ascii="宋体" w:hAnsi="宋体" w:cs="宋体"/>
          <w:color w:val="auto"/>
          <w:szCs w:val="21"/>
          <w:highlight w:val="none"/>
          <w:lang w:val="en-US" w:eastAsia="zh-CN" w:bidi="ar"/>
        </w:rPr>
      </w:pPr>
      <w:r>
        <w:rPr>
          <w:rFonts w:hint="eastAsia" w:ascii="宋体" w:hAnsi="宋体" w:cs="宋体"/>
          <w:color w:val="auto"/>
          <w:szCs w:val="21"/>
          <w:highlight w:val="none"/>
        </w:rPr>
        <w:t>（一）付款方式：</w:t>
      </w:r>
      <w:r>
        <w:rPr>
          <w:rFonts w:hint="eastAsia" w:ascii="宋体" w:hAnsi="宋体" w:cs="宋体"/>
          <w:color w:val="auto"/>
          <w:szCs w:val="21"/>
          <w:highlight w:val="none"/>
          <w:lang w:val="en-US" w:eastAsia="zh-CN" w:bidi="ar"/>
        </w:rPr>
        <w:t>合同约定的所有设备安装验收完成后</w:t>
      </w:r>
      <w:r>
        <w:rPr>
          <w:rFonts w:hint="default" w:ascii="宋体" w:hAnsi="宋体" w:cs="宋体"/>
          <w:color w:val="auto"/>
          <w:szCs w:val="21"/>
          <w:highlight w:val="none"/>
          <w:lang w:val="en-US" w:eastAsia="zh-CN" w:bidi="ar"/>
        </w:rPr>
        <w:t>，</w:t>
      </w:r>
      <w:r>
        <w:rPr>
          <w:rFonts w:hint="eastAsia" w:ascii="宋体" w:hAnsi="宋体" w:cs="宋体"/>
          <w:color w:val="auto"/>
          <w:szCs w:val="21"/>
          <w:highlight w:val="none"/>
          <w:lang w:val="en-US" w:eastAsia="zh-CN" w:bidi="ar"/>
        </w:rPr>
        <w:t>甲方根据结算审计结果、考核结果至多支付考核金额的95%，剩余金额于质保期满后付清。</w:t>
      </w:r>
    </w:p>
    <w:p w14:paraId="7AF2347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（二）支付考核（考核表详见合同附件）</w:t>
      </w:r>
    </w:p>
    <w:p w14:paraId="36A7D7C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根据考核办法在本项目每次付款节点对服务质量进行评定，评定分数为95（不含）-100、80（不含）-95（含）、80（含以下）三个级别，节点付款需根据最终的评定结果分别乘以 1.0、0.9、0.8 的系数。咨询服务节点付款金额=节点付款金额*评定系数</w:t>
      </w:r>
    </w:p>
    <w:p w14:paraId="515C95FA">
      <w:pPr>
        <w:adjustRightInd w:val="0"/>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bidi="ar"/>
        </w:rPr>
        <w:t>第九条 违约责任</w:t>
      </w:r>
    </w:p>
    <w:p w14:paraId="2E1B8F12">
      <w:pPr>
        <w:spacing w:line="440" w:lineRule="exact"/>
        <w:ind w:firstLine="420" w:firstLineChars="200"/>
        <w:rPr>
          <w:rFonts w:hint="eastAsia" w:ascii="宋体" w:hAnsi="宋体" w:cs="宋体"/>
          <w:szCs w:val="21"/>
        </w:rPr>
      </w:pPr>
      <w:r>
        <w:rPr>
          <w:rFonts w:hint="eastAsia" w:ascii="宋体" w:hAnsi="宋体" w:cs="宋体"/>
          <w:szCs w:val="21"/>
          <w:lang w:bidi="ar"/>
        </w:rPr>
        <w:t>1.如乙方不能按时交付货物的，每逾期1天，乙方向甲方偿付合同总额5‰的违约金；乙方逾期交付货物超过10天（含10天），甲方有权解除合同，乙方交纳的全部履约保证金不予退还，同时有权要求乙方按照合同总价5%的标准支付违约金，解除合同的通知自发出之日生效。</w:t>
      </w:r>
    </w:p>
    <w:p w14:paraId="6401879D">
      <w:pPr>
        <w:spacing w:line="440" w:lineRule="exact"/>
        <w:ind w:firstLine="420" w:firstLineChars="200"/>
        <w:rPr>
          <w:rFonts w:hint="eastAsia" w:ascii="宋体" w:hAnsi="宋体" w:cs="宋体"/>
          <w:szCs w:val="21"/>
        </w:rPr>
      </w:pPr>
      <w:r>
        <w:rPr>
          <w:rFonts w:hint="eastAsia" w:ascii="宋体" w:hAnsi="宋体" w:cs="宋体"/>
          <w:szCs w:val="21"/>
          <w:lang w:bidi="ar"/>
        </w:rPr>
        <w:t>2.乙方所交付的货物品种、型号、规格不符合合同规定的，甲方有权拒收，同时有权解除合同，全部履约保证金不予退还，解除合同的通知自发出之日生效。</w:t>
      </w:r>
    </w:p>
    <w:p w14:paraId="24260E6E">
      <w:pPr>
        <w:spacing w:line="440" w:lineRule="exact"/>
        <w:ind w:firstLine="420" w:firstLineChars="200"/>
        <w:rPr>
          <w:rFonts w:hint="eastAsia" w:ascii="宋体" w:hAnsi="宋体" w:cs="宋体"/>
          <w:szCs w:val="21"/>
        </w:rPr>
      </w:pPr>
      <w:r>
        <w:rPr>
          <w:rFonts w:hint="eastAsia" w:ascii="宋体" w:hAnsi="宋体" w:cs="宋体"/>
          <w:szCs w:val="21"/>
          <w:lang w:bidi="ar"/>
        </w:rPr>
        <w:t>3.在乙方承诺的或国家规定的质量保证期内（取两者中最长的期限），如经乙方两次维修或更换，货物仍不能达到合同约定的质量标准、运行效果的，甲方有权要求退货，乙方应退回全部货款，同时甲方有权按照本条第1点不予退还履约保证金和向乙方主张违约金，若仍不足以弥补甲方损失，则乙方还须赔偿甲方因此遭受的所有损失。</w:t>
      </w:r>
    </w:p>
    <w:p w14:paraId="0A353624">
      <w:pPr>
        <w:spacing w:line="440" w:lineRule="exact"/>
        <w:ind w:firstLine="420" w:firstLineChars="200"/>
        <w:rPr>
          <w:rFonts w:hint="eastAsia" w:ascii="宋体" w:hAnsi="宋体" w:cs="宋体"/>
          <w:szCs w:val="21"/>
        </w:rPr>
      </w:pPr>
      <w:r>
        <w:rPr>
          <w:rFonts w:hint="eastAsia" w:ascii="宋体" w:hAnsi="宋体" w:cs="宋体"/>
          <w:szCs w:val="21"/>
          <w:lang w:bidi="ar"/>
        </w:rPr>
        <w:t>4.乙方有虚假承诺，或经权威部门监测提供的货物不能满足询价通知书要求，或是由于乙方的过错造成合同无法继续履行的，除乙方已交履约保证金不予退还外，还应向甲方支付不少于合同总价30%违约金，若该违约金不足以弥补甲方损失，则应当赔偿甲方所有损失。</w:t>
      </w:r>
    </w:p>
    <w:p w14:paraId="1473B869">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5.其他未尽事宜，以《中华人民共和国民法典》等有关法律法规规定为准，无相关规定的，双方协商解决。</w:t>
      </w:r>
    </w:p>
    <w:p w14:paraId="55BB20CA">
      <w:pPr>
        <w:adjustRightInd w:val="0"/>
        <w:snapToGrid w:val="0"/>
        <w:spacing w:line="440" w:lineRule="exact"/>
        <w:ind w:firstLine="422" w:firstLineChars="200"/>
        <w:rPr>
          <w:rFonts w:hint="eastAsia" w:ascii="宋体" w:hAnsi="宋体" w:cs="宋体"/>
          <w:b/>
          <w:szCs w:val="21"/>
        </w:rPr>
      </w:pPr>
      <w:r>
        <w:rPr>
          <w:rFonts w:hint="eastAsia" w:ascii="宋体" w:hAnsi="宋体" w:cs="宋体"/>
          <w:b/>
          <w:szCs w:val="21"/>
          <w:lang w:bidi="ar"/>
        </w:rPr>
        <w:t>第十条 合同的变更和终止</w:t>
      </w:r>
    </w:p>
    <w:p w14:paraId="34A86AB8">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1.本合同一经签订，甲乙双方不得擅自变更、中止或终止合同。</w:t>
      </w:r>
    </w:p>
    <w:p w14:paraId="6EC6EBA1">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2.除发生法律规定的不能预见、不能避免并不能克服的客观情况外，甲乙双方不得放弃或拒绝履行合同。乙方放弃或拒绝履行合同，保证金不予退还。</w:t>
      </w:r>
    </w:p>
    <w:p w14:paraId="0CD3FBDA">
      <w:pPr>
        <w:adjustRightInd w:val="0"/>
        <w:snapToGrid w:val="0"/>
        <w:spacing w:line="440" w:lineRule="exact"/>
        <w:ind w:firstLine="422" w:firstLineChars="200"/>
        <w:rPr>
          <w:rFonts w:hint="eastAsia" w:ascii="宋体" w:hAnsi="宋体" w:cs="宋体"/>
          <w:b/>
          <w:szCs w:val="21"/>
        </w:rPr>
      </w:pPr>
      <w:r>
        <w:rPr>
          <w:rFonts w:hint="eastAsia" w:ascii="宋体" w:hAnsi="宋体" w:cs="宋体"/>
          <w:b/>
          <w:szCs w:val="21"/>
          <w:lang w:bidi="ar"/>
        </w:rPr>
        <w:t>第十一条 合同的转让</w:t>
      </w:r>
    </w:p>
    <w:p w14:paraId="30320C09">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乙方不得擅自部分或全部转让其应履行的合同义务。</w:t>
      </w:r>
    </w:p>
    <w:p w14:paraId="2493C25D">
      <w:pPr>
        <w:adjustRightInd w:val="0"/>
        <w:snapToGrid w:val="0"/>
        <w:spacing w:line="440" w:lineRule="exact"/>
        <w:ind w:firstLine="422" w:firstLineChars="200"/>
        <w:rPr>
          <w:rFonts w:hint="eastAsia" w:ascii="宋体" w:hAnsi="宋体" w:cs="宋体"/>
          <w:b/>
          <w:szCs w:val="21"/>
        </w:rPr>
      </w:pPr>
      <w:r>
        <w:rPr>
          <w:rFonts w:hint="eastAsia" w:ascii="宋体" w:hAnsi="宋体" w:cs="宋体"/>
          <w:b/>
          <w:szCs w:val="21"/>
          <w:lang w:bidi="ar"/>
        </w:rPr>
        <w:t>第十二条 不可抗力</w:t>
      </w:r>
    </w:p>
    <w:p w14:paraId="17990077">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甲、乙方中任何一方，因不可抗力不能按时或完全履行合同的，应及时通知对方，并在7个工作日内提供相应证明。未履行完合同部分是否继续履行、如何履行等问题，可由双方初步协商，并向主管部门报告。确定为不可抗力原因造成的损失，免予承担责任。</w:t>
      </w:r>
    </w:p>
    <w:p w14:paraId="21E12B27">
      <w:pPr>
        <w:adjustRightInd w:val="0"/>
        <w:snapToGrid w:val="0"/>
        <w:spacing w:line="440" w:lineRule="exact"/>
        <w:ind w:firstLine="422" w:firstLineChars="200"/>
        <w:rPr>
          <w:rFonts w:hint="eastAsia" w:ascii="宋体" w:hAnsi="宋体" w:cs="宋体"/>
          <w:b/>
          <w:szCs w:val="21"/>
        </w:rPr>
      </w:pPr>
      <w:r>
        <w:rPr>
          <w:rFonts w:hint="eastAsia" w:ascii="宋体" w:hAnsi="宋体" w:cs="宋体"/>
          <w:b/>
          <w:szCs w:val="21"/>
          <w:lang w:bidi="ar"/>
        </w:rPr>
        <w:t>第十三条 质量问题或缺陷的索赔</w:t>
      </w:r>
    </w:p>
    <w:p w14:paraId="498F8371">
      <w:pPr>
        <w:autoSpaceDE w:val="0"/>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乙方交付货物后，甲方发现货物的质量与合同内容不符或证实货物存在缺陷的（包括潜在缺陷），乙方应在收到甲方索赔通知后3日内到甲方处，商量解决货物质量或缺陷问题。若乙方未在上述约定时间内到场解决，因此产生的损失以及扩大损失全部由乙方承担，甲方有权选择解除合同，要求退还全部货物，返还所有货款，不予退还全部履约保证金，并有权按照合同总额5%标准向乙方主张违约金；或者有权安排第三方解决货物质量或缺陷问题，因此产生的所有费用全部由乙方承担，甲方可以在应付乙方的货款中直接扣除，同时甲方不予退还全部履约保证金，并有权按照合同总额5%标准向乙方主张违约金。若上述违约金不足以弥补甲方直接损失和间接损失，则乙方应赔偿甲方所有损失。</w:t>
      </w:r>
    </w:p>
    <w:p w14:paraId="671F19C8">
      <w:pPr>
        <w:autoSpaceDE w:val="0"/>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 xml:space="preserve"> 甲方因主张上述权利而支出的所有合理费用，包括但不限于律师费、诉讼费、</w:t>
      </w:r>
      <w:r>
        <w:rPr>
          <w:rFonts w:hint="eastAsia" w:ascii="宋体" w:hAnsi="宋体" w:cs="宋体"/>
          <w:szCs w:val="21"/>
          <w:lang w:val="en-US" w:eastAsia="zh-CN" w:bidi="ar"/>
        </w:rPr>
        <w:t>保全费、保全保险费、</w:t>
      </w:r>
      <w:r>
        <w:rPr>
          <w:rFonts w:hint="eastAsia" w:ascii="宋体" w:hAnsi="宋体" w:cs="宋体"/>
          <w:szCs w:val="21"/>
          <w:lang w:bidi="ar"/>
        </w:rPr>
        <w:t>鉴定费、差旅费、保函费等，均由乙方承担。</w:t>
      </w:r>
    </w:p>
    <w:p w14:paraId="214C5053">
      <w:pPr>
        <w:adjustRightInd w:val="0"/>
        <w:snapToGrid w:val="0"/>
        <w:spacing w:line="440" w:lineRule="exact"/>
        <w:ind w:firstLine="422" w:firstLineChars="200"/>
        <w:rPr>
          <w:rFonts w:hint="eastAsia" w:ascii="宋体" w:hAnsi="宋体" w:cs="宋体"/>
          <w:b/>
          <w:szCs w:val="21"/>
        </w:rPr>
      </w:pPr>
      <w:r>
        <w:rPr>
          <w:rFonts w:hint="eastAsia" w:ascii="宋体" w:hAnsi="宋体" w:cs="宋体"/>
          <w:b/>
          <w:szCs w:val="21"/>
          <w:lang w:bidi="ar"/>
        </w:rPr>
        <w:t>第十四条 争议的解决</w:t>
      </w:r>
    </w:p>
    <w:p w14:paraId="130BC6D9">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1.因履行本合同引起的或与本合同有关的争议，甲、乙双方应首先通过友好协商解决，如果协商不能解决争议，则采取以下第（</w:t>
      </w:r>
      <w:r>
        <w:rPr>
          <w:rFonts w:hint="eastAsia" w:ascii="宋体" w:hAnsi="宋体" w:cs="宋体"/>
          <w:szCs w:val="21"/>
          <w:lang w:val="en-US" w:eastAsia="zh-CN" w:bidi="ar"/>
        </w:rPr>
        <w:t>1</w:t>
      </w:r>
      <w:r>
        <w:rPr>
          <w:rFonts w:hint="eastAsia" w:ascii="宋体" w:hAnsi="宋体" w:cs="宋体"/>
          <w:szCs w:val="21"/>
          <w:lang w:bidi="ar"/>
        </w:rPr>
        <w:t>）种方式解决争议：</w:t>
      </w:r>
    </w:p>
    <w:p w14:paraId="7871C293">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（1）向甲方所在地人民法院提起诉讼；</w:t>
      </w:r>
    </w:p>
    <w:p w14:paraId="4BE1EB21">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（2）向甲方所在地仲裁委员会按其仲裁规则申请仲裁。</w:t>
      </w:r>
    </w:p>
    <w:p w14:paraId="7A99E326">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如没有约定，默认采取第2种方式解决争议。</w:t>
      </w:r>
    </w:p>
    <w:p w14:paraId="09A9A76E">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2.在法院审理和仲裁期间，除有争议部分外，本合同其他部分应继续履行。</w:t>
      </w:r>
    </w:p>
    <w:p w14:paraId="0326CCDF">
      <w:pPr>
        <w:adjustRightInd w:val="0"/>
        <w:snapToGrid w:val="0"/>
        <w:spacing w:line="440" w:lineRule="exact"/>
        <w:ind w:firstLine="422" w:firstLineChars="200"/>
        <w:rPr>
          <w:rFonts w:hint="eastAsia" w:ascii="宋体" w:hAnsi="宋体" w:cs="宋体"/>
          <w:b/>
          <w:szCs w:val="21"/>
        </w:rPr>
      </w:pPr>
      <w:r>
        <w:rPr>
          <w:rFonts w:hint="eastAsia" w:ascii="宋体" w:hAnsi="宋体" w:cs="宋体"/>
          <w:b/>
          <w:szCs w:val="21"/>
          <w:lang w:bidi="ar"/>
        </w:rPr>
        <w:t xml:space="preserve">第十五条 诚实信用 </w:t>
      </w:r>
    </w:p>
    <w:p w14:paraId="06FF59F8">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乙方应诚实信用，严格按照询价通知书要求和服务承诺履行合同，不向甲方进行商业贿赂或者提供不正当利益。</w:t>
      </w:r>
    </w:p>
    <w:p w14:paraId="0EB13CFC">
      <w:pPr>
        <w:adjustRightInd w:val="0"/>
        <w:snapToGrid w:val="0"/>
        <w:spacing w:line="440" w:lineRule="exact"/>
        <w:ind w:firstLine="422" w:firstLineChars="200"/>
        <w:rPr>
          <w:rFonts w:hint="eastAsia" w:ascii="宋体" w:hAnsi="宋体" w:cs="宋体"/>
          <w:b/>
          <w:szCs w:val="21"/>
        </w:rPr>
      </w:pPr>
      <w:r>
        <w:rPr>
          <w:rFonts w:hint="eastAsia" w:ascii="宋体" w:hAnsi="宋体" w:cs="宋体"/>
          <w:b/>
          <w:szCs w:val="21"/>
          <w:lang w:bidi="ar"/>
        </w:rPr>
        <w:t>第十六条 合同生效及其他</w:t>
      </w:r>
    </w:p>
    <w:p w14:paraId="6DE2CA5F">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1.本合同自经甲乙双方授权代表签订并盖章后，自签订之日起生效。见证方仅对甲乙双方签订采购合同的事实进行见证，不代表任何承诺或保证，该合同的履行等相关情况均与见证方无任何关系。</w:t>
      </w:r>
    </w:p>
    <w:p w14:paraId="4251CCE5">
      <w:pPr>
        <w:spacing w:line="440" w:lineRule="exact"/>
        <w:ind w:firstLine="420" w:firstLineChars="200"/>
        <w:rPr>
          <w:rFonts w:hint="eastAsia" w:ascii="宋体" w:hAnsi="宋体" w:cs="宋体"/>
          <w:szCs w:val="21"/>
        </w:rPr>
      </w:pPr>
      <w:r>
        <w:rPr>
          <w:rFonts w:hint="eastAsia" w:ascii="宋体" w:hAnsi="宋体" w:cs="宋体"/>
          <w:szCs w:val="21"/>
          <w:lang w:bidi="ar"/>
        </w:rPr>
        <w:t>2.本合同一式玖份，甲方执陆份，乙方执贰份，见证方执壹份存档。</w:t>
      </w:r>
    </w:p>
    <w:p w14:paraId="5A44016D">
      <w:pPr>
        <w:spacing w:line="440" w:lineRule="exact"/>
        <w:ind w:firstLine="420" w:firstLineChars="200"/>
        <w:rPr>
          <w:rFonts w:hint="eastAsia" w:ascii="宋体" w:hAnsi="宋体" w:cs="宋体"/>
          <w:szCs w:val="21"/>
        </w:rPr>
      </w:pPr>
      <w:r>
        <w:rPr>
          <w:rFonts w:hint="eastAsia" w:ascii="宋体" w:hAnsi="宋体" w:cs="宋体"/>
          <w:szCs w:val="21"/>
          <w:lang w:bidi="ar"/>
        </w:rPr>
        <w:t>3.本合同应按照中华人民共和国的现行法律进行解释。</w:t>
      </w:r>
    </w:p>
    <w:p w14:paraId="14FECE56">
      <w:pPr>
        <w:spacing w:line="460" w:lineRule="exact"/>
        <w:rPr>
          <w:rFonts w:hint="eastAsia" w:ascii="宋体" w:hAnsi="宋体" w:cs="宋体"/>
          <w:b/>
          <w:bCs/>
          <w:szCs w:val="21"/>
          <w:lang w:bidi="ar"/>
        </w:rPr>
      </w:pPr>
    </w:p>
    <w:p w14:paraId="591E28FD">
      <w:pPr>
        <w:keepNext w:val="0"/>
        <w:keepLines w:val="0"/>
        <w:pageBreakBefore w:val="0"/>
        <w:widowControl w:val="0"/>
        <w:kinsoku/>
        <w:wordWrap/>
        <w:overflowPunct/>
        <w:topLinePunct w:val="0"/>
        <w:autoSpaceDE/>
        <w:autoSpaceDN/>
        <w:bidi w:val="0"/>
        <w:spacing w:line="460" w:lineRule="exact"/>
        <w:textAlignment w:val="auto"/>
        <w:rPr>
          <w:b/>
          <w:bCs/>
          <w:szCs w:val="21"/>
        </w:rPr>
      </w:pPr>
      <w:bookmarkStart w:id="11" w:name="_Toc7668_WPSOffice_Level2"/>
      <w:r>
        <w:rPr>
          <w:b/>
          <w:bCs/>
          <w:szCs w:val="21"/>
        </w:rPr>
        <w:t>注：</w:t>
      </w:r>
      <w:r>
        <w:rPr>
          <w:rFonts w:hint="eastAsia"/>
          <w:b/>
          <w:bCs/>
          <w:szCs w:val="21"/>
        </w:rPr>
        <w:t>在合同主要条款内容不变的前提下，合同格式仅供参考，以最终与</w:t>
      </w:r>
      <w:r>
        <w:rPr>
          <w:rFonts w:hint="eastAsia"/>
          <w:b/>
          <w:bCs/>
          <w:szCs w:val="21"/>
          <w:lang w:val="en-US" w:eastAsia="zh-CN"/>
        </w:rPr>
        <w:t>招标人</w:t>
      </w:r>
      <w:r>
        <w:rPr>
          <w:rFonts w:hint="eastAsia"/>
          <w:b/>
          <w:bCs/>
          <w:szCs w:val="21"/>
        </w:rPr>
        <w:t>签订的合同为准。</w:t>
      </w:r>
    </w:p>
    <w:p w14:paraId="2EB74493">
      <w:pPr>
        <w:spacing w:line="440" w:lineRule="exact"/>
        <w:rPr>
          <w:rFonts w:hint="eastAsia" w:ascii="宋体" w:hAnsi="宋体" w:cs="宋体"/>
          <w:b/>
          <w:bCs/>
          <w:color w:val="000000"/>
          <w:szCs w:val="21"/>
        </w:rPr>
      </w:pPr>
      <w:r>
        <w:rPr>
          <w:rFonts w:hint="eastAsia" w:ascii="宋体" w:hAnsi="宋体" w:cs="宋体"/>
          <w:b/>
          <w:bCs/>
          <w:color w:val="000000"/>
          <w:szCs w:val="21"/>
          <w:lang w:bidi="ar"/>
        </w:rPr>
        <w:t xml:space="preserve"> </w:t>
      </w:r>
      <w:bookmarkEnd w:id="11"/>
    </w:p>
    <w:p w14:paraId="2EC70813">
      <w:pPr>
        <w:spacing w:line="440" w:lineRule="exact"/>
        <w:rPr>
          <w:rFonts w:hint="eastAsia" w:ascii="宋体" w:hAnsi="宋体" w:cs="宋体"/>
          <w:color w:val="000000"/>
          <w:szCs w:val="21"/>
        </w:rPr>
      </w:pPr>
      <w:r>
        <w:rPr>
          <w:rFonts w:hint="eastAsia" w:ascii="宋体" w:hAnsi="宋体" w:cs="宋体"/>
          <w:b/>
          <w:bCs/>
          <w:color w:val="000000"/>
          <w:szCs w:val="21"/>
          <w:lang w:bidi="ar"/>
        </w:rPr>
        <w:t>甲    方</w:t>
      </w:r>
      <w:r>
        <w:rPr>
          <w:rFonts w:hint="eastAsia" w:ascii="宋体" w:hAnsi="宋体" w:cs="宋体"/>
          <w:color w:val="000000"/>
          <w:szCs w:val="21"/>
          <w:lang w:bidi="ar"/>
        </w:rPr>
        <w:t xml:space="preserve">：                               </w:t>
      </w:r>
      <w:r>
        <w:rPr>
          <w:rFonts w:hint="eastAsia" w:ascii="宋体" w:hAnsi="宋体" w:cs="宋体"/>
          <w:b/>
          <w:bCs/>
          <w:color w:val="000000"/>
          <w:szCs w:val="21"/>
          <w:lang w:bidi="ar"/>
        </w:rPr>
        <w:t>乙    方</w:t>
      </w:r>
      <w:r>
        <w:rPr>
          <w:rFonts w:hint="eastAsia" w:ascii="宋体" w:hAnsi="宋体" w:cs="宋体"/>
          <w:color w:val="000000"/>
          <w:szCs w:val="21"/>
          <w:lang w:bidi="ar"/>
        </w:rPr>
        <w:t>：</w:t>
      </w:r>
    </w:p>
    <w:p w14:paraId="5AE3C4FA">
      <w:pPr>
        <w:spacing w:line="440" w:lineRule="exact"/>
        <w:rPr>
          <w:rFonts w:hint="eastAsia" w:ascii="宋体" w:hAnsi="宋体" w:cs="宋体"/>
          <w:color w:val="000000"/>
          <w:szCs w:val="21"/>
          <w:u w:val="single"/>
        </w:rPr>
      </w:pPr>
      <w:r>
        <w:rPr>
          <w:rFonts w:hint="eastAsia" w:ascii="宋体" w:hAnsi="宋体" w:cs="宋体"/>
          <w:color w:val="000000"/>
          <w:szCs w:val="21"/>
          <w:lang w:bidi="ar"/>
        </w:rPr>
        <w:t>单位名称（章）：                         单位名称（章）：</w:t>
      </w:r>
    </w:p>
    <w:p w14:paraId="2F914027">
      <w:pPr>
        <w:spacing w:line="440" w:lineRule="exact"/>
        <w:rPr>
          <w:rFonts w:hint="eastAsia" w:ascii="宋体" w:hAnsi="宋体" w:cs="宋体"/>
          <w:color w:val="000000"/>
          <w:szCs w:val="21"/>
        </w:rPr>
      </w:pPr>
      <w:r>
        <w:rPr>
          <w:rFonts w:hint="eastAsia" w:ascii="宋体" w:hAnsi="宋体" w:cs="宋体"/>
          <w:color w:val="000000"/>
          <w:szCs w:val="21"/>
          <w:lang w:bidi="ar"/>
        </w:rPr>
        <w:t xml:space="preserve">单位地址：                               单位地址：                       </w:t>
      </w:r>
    </w:p>
    <w:p w14:paraId="51AECE59">
      <w:pPr>
        <w:spacing w:line="440" w:lineRule="exact"/>
        <w:rPr>
          <w:rFonts w:hint="eastAsia" w:ascii="宋体" w:hAnsi="宋体" w:cs="宋体"/>
          <w:color w:val="000000"/>
          <w:szCs w:val="21"/>
        </w:rPr>
      </w:pPr>
      <w:r>
        <w:rPr>
          <w:rFonts w:hint="eastAsia" w:ascii="宋体" w:hAnsi="宋体" w:cs="宋体"/>
          <w:color w:val="000000"/>
          <w:szCs w:val="21"/>
          <w:lang w:bidi="ar"/>
        </w:rPr>
        <w:t xml:space="preserve">法定代表人：       委托代理人：          法定代表人：      委托代理人：                            </w:t>
      </w:r>
    </w:p>
    <w:p w14:paraId="0CDD0D17">
      <w:pPr>
        <w:spacing w:line="440" w:lineRule="exact"/>
        <w:rPr>
          <w:rFonts w:hint="eastAsia" w:ascii="宋体" w:hAnsi="宋体" w:cs="宋体"/>
          <w:color w:val="000000"/>
          <w:szCs w:val="21"/>
        </w:rPr>
      </w:pPr>
      <w:r>
        <w:rPr>
          <w:rFonts w:hint="eastAsia" w:ascii="宋体" w:hAnsi="宋体" w:cs="宋体"/>
          <w:color w:val="000000"/>
          <w:szCs w:val="21"/>
          <w:lang w:bidi="ar"/>
        </w:rPr>
        <w:t>电话：                                   电话：            传真：</w:t>
      </w:r>
    </w:p>
    <w:p w14:paraId="13E828C7">
      <w:pPr>
        <w:widowControl/>
        <w:snapToGrid w:val="0"/>
        <w:spacing w:line="480" w:lineRule="auto"/>
        <w:ind w:right="-153"/>
        <w:jc w:val="center"/>
        <w:rPr>
          <w:b/>
          <w:bCs/>
          <w:kern w:val="0"/>
          <w:sz w:val="30"/>
          <w:szCs w:val="30"/>
        </w:rPr>
      </w:pPr>
      <w:r>
        <w:rPr>
          <w:rFonts w:hint="eastAsia" w:ascii="宋体" w:hAnsi="宋体" w:cs="宋体"/>
          <w:color w:val="000000"/>
          <w:szCs w:val="21"/>
          <w:lang w:bidi="ar"/>
        </w:rPr>
        <w:t xml:space="preserve">传真：                                   开户银行：        帐号：         </w:t>
      </w:r>
    </w:p>
    <w:p w14:paraId="132986F1">
      <w:pPr>
        <w:keepNext w:val="0"/>
        <w:keepLines w:val="0"/>
        <w:pageBreakBefore w:val="0"/>
        <w:widowControl w:val="0"/>
        <w:kinsoku/>
        <w:wordWrap/>
        <w:overflowPunct/>
        <w:topLinePunct w:val="0"/>
        <w:autoSpaceDE/>
        <w:autoSpaceDN/>
        <w:bidi w:val="0"/>
        <w:spacing w:line="460" w:lineRule="exact"/>
        <w:textAlignment w:val="auto"/>
        <w:rPr>
          <w:b/>
          <w:bCs/>
          <w:szCs w:val="21"/>
        </w:rPr>
      </w:pPr>
    </w:p>
    <w:p w14:paraId="7A734AAB">
      <w:pPr>
        <w:keepNext w:val="0"/>
        <w:keepLines w:val="0"/>
        <w:pageBreakBefore w:val="0"/>
        <w:widowControl w:val="0"/>
        <w:kinsoku/>
        <w:wordWrap/>
        <w:overflowPunct/>
        <w:topLinePunct w:val="0"/>
        <w:autoSpaceDE/>
        <w:autoSpaceDN/>
        <w:bidi w:val="0"/>
        <w:spacing w:line="460" w:lineRule="exact"/>
        <w:textAlignment w:val="auto"/>
        <w:rPr>
          <w:b/>
          <w:bCs/>
          <w:szCs w:val="21"/>
        </w:rPr>
      </w:pPr>
    </w:p>
    <w:p w14:paraId="5949C164">
      <w:pPr>
        <w:keepNext w:val="0"/>
        <w:keepLines w:val="0"/>
        <w:pageBreakBefore w:val="0"/>
        <w:widowControl w:val="0"/>
        <w:kinsoku/>
        <w:wordWrap/>
        <w:overflowPunct/>
        <w:topLinePunct w:val="0"/>
        <w:autoSpaceDE/>
        <w:autoSpaceDN/>
        <w:bidi w:val="0"/>
        <w:spacing w:line="460" w:lineRule="exact"/>
        <w:textAlignment w:val="auto"/>
        <w:rPr>
          <w:b/>
          <w:bCs/>
          <w:szCs w:val="21"/>
        </w:rPr>
      </w:pPr>
    </w:p>
    <w:p w14:paraId="0B5BF22C">
      <w:pPr>
        <w:keepNext w:val="0"/>
        <w:keepLines w:val="0"/>
        <w:pageBreakBefore w:val="0"/>
        <w:widowControl w:val="0"/>
        <w:kinsoku/>
        <w:wordWrap/>
        <w:overflowPunct/>
        <w:topLinePunct w:val="0"/>
        <w:autoSpaceDE/>
        <w:autoSpaceDN/>
        <w:bidi w:val="0"/>
        <w:spacing w:line="460" w:lineRule="exact"/>
        <w:textAlignment w:val="auto"/>
        <w:rPr>
          <w:b/>
          <w:bCs/>
          <w:szCs w:val="21"/>
        </w:rPr>
      </w:pPr>
    </w:p>
    <w:p w14:paraId="14845EBA">
      <w:pPr>
        <w:keepNext w:val="0"/>
        <w:keepLines w:val="0"/>
        <w:pageBreakBefore w:val="0"/>
        <w:widowControl w:val="0"/>
        <w:kinsoku/>
        <w:wordWrap/>
        <w:overflowPunct/>
        <w:topLinePunct w:val="0"/>
        <w:autoSpaceDE/>
        <w:autoSpaceDN/>
        <w:bidi w:val="0"/>
        <w:spacing w:line="460" w:lineRule="exact"/>
        <w:textAlignment w:val="auto"/>
        <w:rPr>
          <w:b/>
          <w:bCs/>
          <w:szCs w:val="21"/>
        </w:rPr>
      </w:pPr>
    </w:p>
    <w:p w14:paraId="64F2A49E">
      <w:pPr>
        <w:wordWrap/>
        <w:adjustRightInd/>
        <w:snapToGrid/>
        <w:spacing w:line="240" w:lineRule="auto"/>
        <w:ind w:firstLine="0"/>
        <w:jc w:val="both"/>
        <w:rPr>
          <w:rFonts w:hint="eastAsia"/>
          <w:lang w:val="en-US" w:eastAsia="zh-CN"/>
        </w:rPr>
      </w:pPr>
    </w:p>
    <w:p w14:paraId="0E8667E5">
      <w:pPr>
        <w:wordWrap/>
        <w:adjustRightInd/>
        <w:snapToGrid/>
        <w:spacing w:line="240" w:lineRule="auto"/>
        <w:ind w:firstLine="0"/>
        <w:jc w:val="both"/>
        <w:rPr>
          <w:rFonts w:hint="eastAsia"/>
          <w:lang w:val="en-US" w:eastAsia="zh-CN"/>
        </w:rPr>
      </w:pPr>
    </w:p>
    <w:p w14:paraId="5C7DC388">
      <w:pPr>
        <w:wordWrap/>
        <w:adjustRightInd/>
        <w:snapToGrid/>
        <w:spacing w:line="240" w:lineRule="auto"/>
        <w:ind w:firstLine="0"/>
        <w:jc w:val="both"/>
        <w:rPr>
          <w:rFonts w:hint="eastAsia"/>
          <w:lang w:val="en-US" w:eastAsia="zh-CN"/>
        </w:rPr>
      </w:pPr>
    </w:p>
    <w:p w14:paraId="34D7CAB5">
      <w:pPr>
        <w:wordWrap/>
        <w:adjustRightInd/>
        <w:snapToGrid/>
        <w:spacing w:line="240" w:lineRule="auto"/>
        <w:ind w:firstLine="0"/>
        <w:jc w:val="both"/>
        <w:rPr>
          <w:rFonts w:hint="eastAsia"/>
          <w:lang w:val="en-US" w:eastAsia="zh-CN"/>
        </w:rPr>
      </w:pPr>
    </w:p>
    <w:p w14:paraId="238C412F">
      <w:pPr>
        <w:wordWrap/>
        <w:adjustRightInd/>
        <w:snapToGrid/>
        <w:spacing w:line="240" w:lineRule="auto"/>
        <w:ind w:firstLine="0"/>
        <w:jc w:val="both"/>
        <w:rPr>
          <w:rFonts w:hint="eastAsia"/>
          <w:lang w:val="en-US" w:eastAsia="zh-CN"/>
        </w:rPr>
      </w:pPr>
    </w:p>
    <w:p w14:paraId="20AD1A75">
      <w:pPr>
        <w:spacing w:line="360" w:lineRule="exact"/>
        <w:rPr>
          <w:rFonts w:hint="eastAsia" w:ascii="宋体" w:hAnsi="宋体" w:cs="宋体"/>
          <w:b/>
          <w:bCs/>
          <w:sz w:val="24"/>
        </w:rPr>
      </w:pPr>
      <w:r>
        <w:rPr>
          <w:rFonts w:hint="eastAsia" w:ascii="宋体" w:hAnsi="宋体" w:cs="宋体"/>
          <w:b/>
          <w:bCs/>
          <w:sz w:val="24"/>
          <w:lang w:val="en-US" w:eastAsia="zh-CN"/>
        </w:rPr>
        <w:t>附件：</w:t>
      </w:r>
      <w:r>
        <w:rPr>
          <w:rFonts w:hint="eastAsia" w:ascii="宋体" w:hAnsi="宋体" w:cs="宋体"/>
          <w:b/>
          <w:bCs/>
          <w:sz w:val="24"/>
        </w:rPr>
        <w:t>供应商考核表</w:t>
      </w:r>
    </w:p>
    <w:p w14:paraId="638D44AD">
      <w:pPr>
        <w:spacing w:line="360" w:lineRule="exact"/>
        <w:jc w:val="center"/>
        <w:rPr>
          <w:rFonts w:hint="eastAsia" w:ascii="宋体" w:hAnsi="宋体" w:cs="宋体"/>
          <w:b/>
          <w:spacing w:val="51"/>
          <w:sz w:val="24"/>
        </w:rPr>
      </w:pPr>
    </w:p>
    <w:p w14:paraId="094A6BDB">
      <w:pPr>
        <w:spacing w:line="360" w:lineRule="exact"/>
        <w:jc w:val="center"/>
        <w:rPr>
          <w:rFonts w:hint="eastAsia" w:ascii="宋体" w:hAnsi="宋体" w:cs="宋体"/>
          <w:sz w:val="24"/>
        </w:rPr>
      </w:pPr>
      <w:r>
        <w:rPr>
          <w:rFonts w:hint="eastAsia" w:ascii="宋体" w:hAnsi="宋体" w:cs="宋体"/>
          <w:b/>
          <w:spacing w:val="51"/>
          <w:sz w:val="24"/>
        </w:rPr>
        <w:t>供应商考核表</w:t>
      </w:r>
    </w:p>
    <w:p w14:paraId="3FEAFB0C">
      <w:pPr>
        <w:spacing w:line="400" w:lineRule="exact"/>
        <w:ind w:right="55" w:rightChars="26"/>
        <w:rPr>
          <w:sz w:val="24"/>
        </w:rPr>
      </w:pPr>
    </w:p>
    <w:p w14:paraId="32E1ED09">
      <w:pPr>
        <w:spacing w:line="400" w:lineRule="exact"/>
        <w:ind w:right="55" w:rightChars="26"/>
        <w:rPr>
          <w:sz w:val="24"/>
          <w:u w:val="single"/>
        </w:rPr>
      </w:pPr>
      <w:r>
        <w:rPr>
          <w:sz w:val="24"/>
        </w:rPr>
        <w:t>项目名称</w:t>
      </w:r>
      <w:r>
        <w:rPr>
          <w:sz w:val="24"/>
          <w:u w:val="single"/>
        </w:rPr>
        <w:t xml:space="preserve">                                        </w:t>
      </w:r>
      <w:r>
        <w:rPr>
          <w:sz w:val="24"/>
        </w:rPr>
        <w:t xml:space="preserve">供应商 </w:t>
      </w:r>
      <w:r>
        <w:rPr>
          <w:sz w:val="24"/>
          <w:u w:val="single"/>
        </w:rPr>
        <w:t xml:space="preserve">                       </w:t>
      </w:r>
    </w:p>
    <w:p w14:paraId="076D4168">
      <w:pPr>
        <w:spacing w:line="400" w:lineRule="exact"/>
        <w:rPr>
          <w:rFonts w:eastAsia="方正仿宋_GBK"/>
          <w:sz w:val="24"/>
        </w:rPr>
      </w:pPr>
      <w:r>
        <w:rPr>
          <w:sz w:val="24"/>
        </w:rPr>
        <w:t>考核单位</w:t>
      </w:r>
      <w:r>
        <w:rPr>
          <w:sz w:val="24"/>
          <w:u w:val="single"/>
        </w:rPr>
        <w:t xml:space="preserve">                                        </w:t>
      </w:r>
      <w:r>
        <w:rPr>
          <w:sz w:val="24"/>
        </w:rPr>
        <w:t>考核时间</w:t>
      </w:r>
      <w:r>
        <w:rPr>
          <w:sz w:val="24"/>
          <w:u w:val="single"/>
        </w:rPr>
        <w:t xml:space="preserve">                   </w:t>
      </w:r>
      <w:r>
        <w:rPr>
          <w:rFonts w:eastAsia="方正仿宋_GBK"/>
          <w:sz w:val="24"/>
          <w:u w:val="single"/>
        </w:rPr>
        <w:t xml:space="preserve"> </w:t>
      </w:r>
    </w:p>
    <w:tbl>
      <w:tblPr>
        <w:tblStyle w:val="26"/>
        <w:tblpPr w:leftFromText="180" w:rightFromText="180" w:vertAnchor="text" w:horzAnchor="page" w:tblpXSpec="center" w:tblpY="391"/>
        <w:tblOverlap w:val="never"/>
        <w:tblW w:w="4997" w:type="pct"/>
        <w:jc w:val="center"/>
        <w:tblLayout w:type="autofit"/>
        <w:tblCellMar>
          <w:top w:w="0" w:type="dxa"/>
          <w:left w:w="108" w:type="dxa"/>
          <w:bottom w:w="0" w:type="dxa"/>
          <w:right w:w="108" w:type="dxa"/>
        </w:tblCellMar>
      </w:tblPr>
      <w:tblGrid>
        <w:gridCol w:w="730"/>
        <w:gridCol w:w="1572"/>
        <w:gridCol w:w="4950"/>
        <w:gridCol w:w="850"/>
        <w:gridCol w:w="1134"/>
      </w:tblGrid>
      <w:tr w14:paraId="749883B9">
        <w:tblPrEx>
          <w:tblCellMar>
            <w:top w:w="0" w:type="dxa"/>
            <w:left w:w="108" w:type="dxa"/>
            <w:bottom w:w="0" w:type="dxa"/>
            <w:right w:w="108" w:type="dxa"/>
          </w:tblCellMar>
        </w:tblPrEx>
        <w:trPr>
          <w:trHeight w:val="486" w:hRule="atLeast"/>
          <w:jc w:val="center"/>
        </w:trPr>
        <w:tc>
          <w:tcPr>
            <w:tcW w:w="395" w:type="pct"/>
            <w:tcBorders>
              <w:top w:val="single" w:color="000000" w:sz="4" w:space="0"/>
              <w:left w:val="single" w:color="000000" w:sz="4" w:space="0"/>
              <w:bottom w:val="single" w:color="000000" w:sz="4" w:space="0"/>
              <w:right w:val="single" w:color="000000" w:sz="4" w:space="0"/>
            </w:tcBorders>
            <w:noWrap w:val="0"/>
            <w:vAlign w:val="center"/>
          </w:tcPr>
          <w:p w14:paraId="671AB385">
            <w:pPr>
              <w:wordWrap/>
              <w:adjustRightInd/>
              <w:snapToGrid/>
              <w:spacing w:line="4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序号</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14:paraId="538D2655">
            <w:pPr>
              <w:wordWrap/>
              <w:adjustRightInd/>
              <w:snapToGrid/>
              <w:spacing w:line="4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考核项目</w:t>
            </w:r>
          </w:p>
        </w:tc>
        <w:tc>
          <w:tcPr>
            <w:tcW w:w="2679" w:type="pct"/>
            <w:tcBorders>
              <w:top w:val="single" w:color="000000" w:sz="4" w:space="0"/>
              <w:left w:val="single" w:color="000000" w:sz="4" w:space="0"/>
              <w:bottom w:val="single" w:color="000000" w:sz="4" w:space="0"/>
              <w:right w:val="single" w:color="000000" w:sz="4" w:space="0"/>
            </w:tcBorders>
            <w:noWrap w:val="0"/>
            <w:vAlign w:val="center"/>
          </w:tcPr>
          <w:p w14:paraId="245BB08B">
            <w:pPr>
              <w:wordWrap/>
              <w:adjustRightInd/>
              <w:snapToGrid/>
              <w:spacing w:line="4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考核内容和分值分配</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5A245BDC">
            <w:pPr>
              <w:wordWrap/>
              <w:adjustRightInd/>
              <w:snapToGrid/>
              <w:spacing w:line="400" w:lineRule="exact"/>
              <w:ind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分值</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561158BC">
            <w:pPr>
              <w:wordWrap/>
              <w:adjustRightInd/>
              <w:snapToGrid/>
              <w:spacing w:line="400" w:lineRule="exact"/>
              <w:ind w:firstLine="0"/>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扣分原因</w:t>
            </w:r>
          </w:p>
        </w:tc>
      </w:tr>
      <w:tr w14:paraId="5C8B60E4">
        <w:tblPrEx>
          <w:tblCellMar>
            <w:top w:w="0" w:type="dxa"/>
            <w:left w:w="108" w:type="dxa"/>
            <w:bottom w:w="0" w:type="dxa"/>
            <w:right w:w="108" w:type="dxa"/>
          </w:tblCellMar>
        </w:tblPrEx>
        <w:trPr>
          <w:trHeight w:val="442" w:hRule="atLeast"/>
          <w:jc w:val="center"/>
        </w:trPr>
        <w:tc>
          <w:tcPr>
            <w:tcW w:w="395" w:type="pct"/>
            <w:vMerge w:val="restart"/>
            <w:tcBorders>
              <w:top w:val="single" w:color="000000" w:sz="4" w:space="0"/>
              <w:left w:val="single" w:color="000000" w:sz="4" w:space="0"/>
              <w:bottom w:val="nil"/>
              <w:right w:val="single" w:color="000000" w:sz="4" w:space="0"/>
            </w:tcBorders>
            <w:noWrap w:val="0"/>
            <w:vAlign w:val="center"/>
          </w:tcPr>
          <w:p w14:paraId="2D3B437B">
            <w:pPr>
              <w:wordWrap/>
              <w:adjustRightInd/>
              <w:snapToGrid/>
              <w:spacing w:line="4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一</w:t>
            </w:r>
          </w:p>
        </w:tc>
        <w:tc>
          <w:tcPr>
            <w:tcW w:w="851" w:type="pct"/>
            <w:vMerge w:val="restart"/>
            <w:tcBorders>
              <w:top w:val="single" w:color="000000" w:sz="4" w:space="0"/>
              <w:left w:val="single" w:color="000000" w:sz="4" w:space="0"/>
              <w:bottom w:val="nil"/>
              <w:right w:val="single" w:color="000000" w:sz="4" w:space="0"/>
            </w:tcBorders>
            <w:noWrap w:val="0"/>
            <w:vAlign w:val="center"/>
          </w:tcPr>
          <w:p w14:paraId="16A1BBA6">
            <w:pPr>
              <w:wordWrap/>
              <w:adjustRightInd/>
              <w:snapToGrid/>
              <w:spacing w:line="4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组织机构和管理制度（10分）</w:t>
            </w:r>
          </w:p>
        </w:tc>
        <w:tc>
          <w:tcPr>
            <w:tcW w:w="2679" w:type="pct"/>
            <w:tcBorders>
              <w:top w:val="single" w:color="000000" w:sz="4" w:space="0"/>
              <w:left w:val="single" w:color="000000" w:sz="4" w:space="0"/>
              <w:bottom w:val="single" w:color="000000" w:sz="4" w:space="0"/>
              <w:right w:val="single" w:color="000000" w:sz="4" w:space="0"/>
            </w:tcBorders>
            <w:noWrap w:val="0"/>
            <w:vAlign w:val="center"/>
          </w:tcPr>
          <w:p w14:paraId="0DA20F9B">
            <w:pPr>
              <w:wordWrap/>
              <w:adjustRightInd/>
              <w:snapToGrid/>
              <w:spacing w:line="4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1、建立组织管理架构、明确职能分工、落实项目负责人、调试人员，未达要求扣1分/项。</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CDC68C3">
            <w:pPr>
              <w:wordWrap/>
              <w:adjustRightInd/>
              <w:snapToGrid/>
              <w:spacing w:line="400" w:lineRule="exact"/>
              <w:ind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4</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72330523">
            <w:pPr>
              <w:wordWrap/>
              <w:adjustRightInd/>
              <w:snapToGrid/>
              <w:spacing w:line="400" w:lineRule="exact"/>
              <w:ind w:firstLine="0"/>
              <w:rPr>
                <w:rFonts w:hint="eastAsia" w:asciiTheme="minorEastAsia" w:hAnsiTheme="minorEastAsia" w:eastAsiaTheme="minorEastAsia" w:cstheme="minorEastAsia"/>
                <w:sz w:val="21"/>
                <w:szCs w:val="21"/>
                <w:lang w:bidi="ar"/>
              </w:rPr>
            </w:pPr>
          </w:p>
        </w:tc>
      </w:tr>
      <w:tr w14:paraId="3A75F205">
        <w:tblPrEx>
          <w:tblCellMar>
            <w:top w:w="0" w:type="dxa"/>
            <w:left w:w="108" w:type="dxa"/>
            <w:bottom w:w="0" w:type="dxa"/>
            <w:right w:w="108" w:type="dxa"/>
          </w:tblCellMar>
        </w:tblPrEx>
        <w:trPr>
          <w:trHeight w:val="442" w:hRule="atLeast"/>
          <w:jc w:val="center"/>
        </w:trPr>
        <w:tc>
          <w:tcPr>
            <w:tcW w:w="395" w:type="pct"/>
            <w:vMerge w:val="continue"/>
            <w:tcBorders>
              <w:top w:val="single" w:color="000000" w:sz="4" w:space="0"/>
              <w:left w:val="single" w:color="000000" w:sz="4" w:space="0"/>
              <w:bottom w:val="nil"/>
              <w:right w:val="single" w:color="000000" w:sz="4" w:space="0"/>
            </w:tcBorders>
            <w:noWrap w:val="0"/>
            <w:vAlign w:val="center"/>
          </w:tcPr>
          <w:p w14:paraId="6E58E4CA">
            <w:pPr>
              <w:wordWrap/>
              <w:adjustRightInd/>
              <w:snapToGrid/>
              <w:spacing w:line="400" w:lineRule="exact"/>
              <w:ind w:firstLine="0"/>
              <w:rPr>
                <w:rFonts w:hint="eastAsia" w:asciiTheme="minorEastAsia" w:hAnsiTheme="minorEastAsia" w:eastAsiaTheme="minorEastAsia" w:cstheme="minorEastAsia"/>
                <w:sz w:val="21"/>
                <w:szCs w:val="21"/>
              </w:rPr>
            </w:pPr>
          </w:p>
        </w:tc>
        <w:tc>
          <w:tcPr>
            <w:tcW w:w="851" w:type="pct"/>
            <w:vMerge w:val="continue"/>
            <w:tcBorders>
              <w:top w:val="single" w:color="000000" w:sz="4" w:space="0"/>
              <w:left w:val="single" w:color="000000" w:sz="4" w:space="0"/>
              <w:bottom w:val="nil"/>
              <w:right w:val="single" w:color="000000" w:sz="4" w:space="0"/>
            </w:tcBorders>
            <w:noWrap w:val="0"/>
            <w:vAlign w:val="center"/>
          </w:tcPr>
          <w:p w14:paraId="26FBCA40">
            <w:pPr>
              <w:wordWrap/>
              <w:adjustRightInd/>
              <w:snapToGrid/>
              <w:spacing w:line="400" w:lineRule="exact"/>
              <w:ind w:firstLine="0"/>
              <w:rPr>
                <w:rFonts w:hint="eastAsia" w:asciiTheme="minorEastAsia" w:hAnsiTheme="minorEastAsia" w:eastAsiaTheme="minorEastAsia" w:cstheme="minorEastAsia"/>
                <w:sz w:val="21"/>
                <w:szCs w:val="21"/>
              </w:rPr>
            </w:pPr>
          </w:p>
        </w:tc>
        <w:tc>
          <w:tcPr>
            <w:tcW w:w="2679" w:type="pct"/>
            <w:tcBorders>
              <w:top w:val="single" w:color="000000" w:sz="4" w:space="0"/>
              <w:left w:val="single" w:color="000000" w:sz="4" w:space="0"/>
              <w:bottom w:val="single" w:color="000000" w:sz="4" w:space="0"/>
              <w:right w:val="single" w:color="000000" w:sz="4" w:space="0"/>
            </w:tcBorders>
            <w:noWrap w:val="0"/>
            <w:vAlign w:val="center"/>
          </w:tcPr>
          <w:p w14:paraId="2C91C7A7">
            <w:pPr>
              <w:wordWrap/>
              <w:adjustRightInd/>
              <w:snapToGrid/>
              <w:spacing w:line="4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2、未按投标承诺的条件或合同内配岗位人员的，按1分/人次扣分。</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0F388462">
            <w:pPr>
              <w:wordWrap/>
              <w:adjustRightInd/>
              <w:snapToGrid/>
              <w:spacing w:line="400" w:lineRule="exact"/>
              <w:ind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3</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28F33F3D">
            <w:pPr>
              <w:wordWrap/>
              <w:adjustRightInd/>
              <w:snapToGrid/>
              <w:spacing w:line="400" w:lineRule="exact"/>
              <w:ind w:firstLine="0"/>
              <w:rPr>
                <w:rFonts w:hint="eastAsia" w:asciiTheme="minorEastAsia" w:hAnsiTheme="minorEastAsia" w:eastAsiaTheme="minorEastAsia" w:cstheme="minorEastAsia"/>
                <w:sz w:val="21"/>
                <w:szCs w:val="21"/>
                <w:lang w:bidi="ar"/>
              </w:rPr>
            </w:pPr>
          </w:p>
        </w:tc>
      </w:tr>
      <w:tr w14:paraId="74EB12EC">
        <w:tblPrEx>
          <w:tblCellMar>
            <w:top w:w="0" w:type="dxa"/>
            <w:left w:w="108" w:type="dxa"/>
            <w:bottom w:w="0" w:type="dxa"/>
            <w:right w:w="108" w:type="dxa"/>
          </w:tblCellMar>
        </w:tblPrEx>
        <w:trPr>
          <w:trHeight w:val="442" w:hRule="atLeast"/>
          <w:jc w:val="center"/>
        </w:trPr>
        <w:tc>
          <w:tcPr>
            <w:tcW w:w="395" w:type="pct"/>
            <w:vMerge w:val="continue"/>
            <w:tcBorders>
              <w:top w:val="single" w:color="000000" w:sz="4" w:space="0"/>
              <w:left w:val="single" w:color="000000" w:sz="4" w:space="0"/>
              <w:bottom w:val="nil"/>
              <w:right w:val="single" w:color="000000" w:sz="4" w:space="0"/>
            </w:tcBorders>
            <w:noWrap w:val="0"/>
            <w:vAlign w:val="center"/>
          </w:tcPr>
          <w:p w14:paraId="4EC88579">
            <w:pPr>
              <w:wordWrap/>
              <w:adjustRightInd/>
              <w:snapToGrid/>
              <w:spacing w:line="400" w:lineRule="exact"/>
              <w:ind w:firstLine="0"/>
              <w:rPr>
                <w:rFonts w:hint="eastAsia" w:asciiTheme="minorEastAsia" w:hAnsiTheme="minorEastAsia" w:eastAsiaTheme="minorEastAsia" w:cstheme="minorEastAsia"/>
                <w:sz w:val="21"/>
                <w:szCs w:val="21"/>
              </w:rPr>
            </w:pPr>
          </w:p>
        </w:tc>
        <w:tc>
          <w:tcPr>
            <w:tcW w:w="851" w:type="pct"/>
            <w:vMerge w:val="continue"/>
            <w:tcBorders>
              <w:top w:val="single" w:color="000000" w:sz="4" w:space="0"/>
              <w:left w:val="single" w:color="000000" w:sz="4" w:space="0"/>
              <w:bottom w:val="nil"/>
              <w:right w:val="single" w:color="000000" w:sz="4" w:space="0"/>
            </w:tcBorders>
            <w:noWrap w:val="0"/>
            <w:vAlign w:val="center"/>
          </w:tcPr>
          <w:p w14:paraId="5FA31529">
            <w:pPr>
              <w:wordWrap/>
              <w:adjustRightInd/>
              <w:snapToGrid/>
              <w:spacing w:line="400" w:lineRule="exact"/>
              <w:ind w:firstLine="0"/>
              <w:rPr>
                <w:rFonts w:hint="eastAsia" w:asciiTheme="minorEastAsia" w:hAnsiTheme="minorEastAsia" w:eastAsiaTheme="minorEastAsia" w:cstheme="minorEastAsia"/>
                <w:sz w:val="21"/>
                <w:szCs w:val="21"/>
              </w:rPr>
            </w:pPr>
          </w:p>
        </w:tc>
        <w:tc>
          <w:tcPr>
            <w:tcW w:w="2679" w:type="pct"/>
            <w:tcBorders>
              <w:top w:val="single" w:color="000000" w:sz="4" w:space="0"/>
              <w:left w:val="single" w:color="000000" w:sz="4" w:space="0"/>
              <w:bottom w:val="single" w:color="000000" w:sz="4" w:space="0"/>
              <w:right w:val="single" w:color="000000" w:sz="4" w:space="0"/>
            </w:tcBorders>
            <w:noWrap w:val="0"/>
            <w:vAlign w:val="center"/>
          </w:tcPr>
          <w:p w14:paraId="0453313B">
            <w:pPr>
              <w:wordWrap/>
              <w:adjustRightInd/>
              <w:snapToGrid/>
              <w:spacing w:line="4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3、重要方案讨论、汇报以及例会等会议要求参会，无故缺席扣1分/次。</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2C652927">
            <w:pPr>
              <w:wordWrap/>
              <w:adjustRightInd/>
              <w:snapToGrid/>
              <w:spacing w:line="400" w:lineRule="exact"/>
              <w:ind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3</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1EA8C07A">
            <w:pPr>
              <w:wordWrap/>
              <w:adjustRightInd/>
              <w:snapToGrid/>
              <w:spacing w:line="400" w:lineRule="exact"/>
              <w:ind w:firstLine="0"/>
              <w:rPr>
                <w:rFonts w:hint="eastAsia" w:asciiTheme="minorEastAsia" w:hAnsiTheme="minorEastAsia" w:eastAsiaTheme="minorEastAsia" w:cstheme="minorEastAsia"/>
                <w:sz w:val="21"/>
                <w:szCs w:val="21"/>
                <w:lang w:bidi="ar"/>
              </w:rPr>
            </w:pPr>
          </w:p>
        </w:tc>
      </w:tr>
      <w:tr w14:paraId="44082161">
        <w:tblPrEx>
          <w:tblCellMar>
            <w:top w:w="0" w:type="dxa"/>
            <w:left w:w="108" w:type="dxa"/>
            <w:bottom w:w="0" w:type="dxa"/>
            <w:right w:w="108" w:type="dxa"/>
          </w:tblCellMar>
        </w:tblPrEx>
        <w:trPr>
          <w:trHeight w:val="661" w:hRule="atLeast"/>
          <w:jc w:val="center"/>
        </w:trPr>
        <w:tc>
          <w:tcPr>
            <w:tcW w:w="395" w:type="pct"/>
            <w:vMerge w:val="restart"/>
            <w:tcBorders>
              <w:top w:val="single" w:color="000000" w:sz="4" w:space="0"/>
              <w:left w:val="single" w:color="000000" w:sz="4" w:space="0"/>
              <w:bottom w:val="nil"/>
              <w:right w:val="single" w:color="000000" w:sz="4" w:space="0"/>
            </w:tcBorders>
            <w:noWrap w:val="0"/>
            <w:vAlign w:val="center"/>
          </w:tcPr>
          <w:p w14:paraId="0FF667D6">
            <w:pPr>
              <w:wordWrap/>
              <w:adjustRightInd/>
              <w:snapToGrid/>
              <w:spacing w:line="4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二</w:t>
            </w:r>
          </w:p>
        </w:tc>
        <w:tc>
          <w:tcPr>
            <w:tcW w:w="851" w:type="pct"/>
            <w:vMerge w:val="restart"/>
            <w:tcBorders>
              <w:top w:val="single" w:color="000000" w:sz="4" w:space="0"/>
              <w:left w:val="single" w:color="000000" w:sz="4" w:space="0"/>
              <w:bottom w:val="nil"/>
              <w:right w:val="single" w:color="000000" w:sz="4" w:space="0"/>
            </w:tcBorders>
            <w:noWrap w:val="0"/>
            <w:vAlign w:val="center"/>
          </w:tcPr>
          <w:p w14:paraId="1CD195FB">
            <w:pPr>
              <w:wordWrap/>
              <w:adjustRightInd/>
              <w:snapToGrid/>
              <w:spacing w:line="4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进度管理（25分）</w:t>
            </w:r>
          </w:p>
        </w:tc>
        <w:tc>
          <w:tcPr>
            <w:tcW w:w="2679" w:type="pct"/>
            <w:tcBorders>
              <w:top w:val="single" w:color="000000" w:sz="4" w:space="0"/>
              <w:left w:val="single" w:color="000000" w:sz="4" w:space="0"/>
              <w:bottom w:val="single" w:color="000000" w:sz="4" w:space="0"/>
              <w:right w:val="single" w:color="000000" w:sz="4" w:space="0"/>
            </w:tcBorders>
            <w:noWrap w:val="0"/>
            <w:vAlign w:val="center"/>
          </w:tcPr>
          <w:p w14:paraId="00866F0B">
            <w:pPr>
              <w:wordWrap/>
              <w:adjustRightInd/>
              <w:snapToGrid/>
              <w:spacing w:line="4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1、前期资料能及时提供，并配合甲方完成相关手续，提供资料不及时或不配合造成项目进度滞后的扣1分/周。</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7F7388D">
            <w:pPr>
              <w:wordWrap/>
              <w:adjustRightInd/>
              <w:snapToGrid/>
              <w:spacing w:line="400" w:lineRule="exact"/>
              <w:ind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5</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6ED7092E">
            <w:pPr>
              <w:wordWrap/>
              <w:adjustRightInd/>
              <w:snapToGrid/>
              <w:spacing w:line="400" w:lineRule="exact"/>
              <w:ind w:firstLine="0"/>
              <w:rPr>
                <w:rFonts w:hint="eastAsia" w:asciiTheme="minorEastAsia" w:hAnsiTheme="minorEastAsia" w:eastAsiaTheme="minorEastAsia" w:cstheme="minorEastAsia"/>
                <w:sz w:val="21"/>
                <w:szCs w:val="21"/>
                <w:lang w:bidi="ar"/>
              </w:rPr>
            </w:pPr>
          </w:p>
        </w:tc>
      </w:tr>
      <w:tr w14:paraId="31C0C08F">
        <w:tblPrEx>
          <w:tblCellMar>
            <w:top w:w="0" w:type="dxa"/>
            <w:left w:w="108" w:type="dxa"/>
            <w:bottom w:w="0" w:type="dxa"/>
            <w:right w:w="108" w:type="dxa"/>
          </w:tblCellMar>
        </w:tblPrEx>
        <w:trPr>
          <w:trHeight w:val="442" w:hRule="atLeast"/>
          <w:jc w:val="center"/>
        </w:trPr>
        <w:tc>
          <w:tcPr>
            <w:tcW w:w="395" w:type="pct"/>
            <w:vMerge w:val="continue"/>
            <w:tcBorders>
              <w:top w:val="single" w:color="000000" w:sz="4" w:space="0"/>
              <w:left w:val="single" w:color="000000" w:sz="4" w:space="0"/>
              <w:bottom w:val="nil"/>
              <w:right w:val="single" w:color="000000" w:sz="4" w:space="0"/>
            </w:tcBorders>
            <w:noWrap w:val="0"/>
            <w:vAlign w:val="center"/>
          </w:tcPr>
          <w:p w14:paraId="6AC379D5">
            <w:pPr>
              <w:wordWrap/>
              <w:adjustRightInd/>
              <w:snapToGrid/>
              <w:spacing w:line="400" w:lineRule="exact"/>
              <w:ind w:firstLine="0"/>
              <w:rPr>
                <w:rFonts w:hint="eastAsia" w:asciiTheme="minorEastAsia" w:hAnsiTheme="minorEastAsia" w:eastAsiaTheme="minorEastAsia" w:cstheme="minorEastAsia"/>
                <w:sz w:val="21"/>
                <w:szCs w:val="21"/>
              </w:rPr>
            </w:pPr>
          </w:p>
        </w:tc>
        <w:tc>
          <w:tcPr>
            <w:tcW w:w="851" w:type="pct"/>
            <w:vMerge w:val="continue"/>
            <w:tcBorders>
              <w:top w:val="single" w:color="000000" w:sz="4" w:space="0"/>
              <w:left w:val="single" w:color="000000" w:sz="4" w:space="0"/>
              <w:bottom w:val="nil"/>
              <w:right w:val="single" w:color="000000" w:sz="4" w:space="0"/>
            </w:tcBorders>
            <w:noWrap w:val="0"/>
            <w:vAlign w:val="center"/>
          </w:tcPr>
          <w:p w14:paraId="01C2DCEC">
            <w:pPr>
              <w:wordWrap/>
              <w:adjustRightInd/>
              <w:snapToGrid/>
              <w:spacing w:line="400" w:lineRule="exact"/>
              <w:ind w:firstLine="0"/>
              <w:rPr>
                <w:rFonts w:hint="eastAsia" w:asciiTheme="minorEastAsia" w:hAnsiTheme="minorEastAsia" w:eastAsiaTheme="minorEastAsia" w:cstheme="minorEastAsia"/>
                <w:sz w:val="21"/>
                <w:szCs w:val="21"/>
              </w:rPr>
            </w:pPr>
          </w:p>
        </w:tc>
        <w:tc>
          <w:tcPr>
            <w:tcW w:w="2679" w:type="pct"/>
            <w:tcBorders>
              <w:top w:val="single" w:color="000000" w:sz="4" w:space="0"/>
              <w:left w:val="single" w:color="000000" w:sz="4" w:space="0"/>
              <w:bottom w:val="single" w:color="000000" w:sz="4" w:space="0"/>
              <w:right w:val="single" w:color="000000" w:sz="4" w:space="0"/>
            </w:tcBorders>
            <w:noWrap w:val="0"/>
            <w:vAlign w:val="center"/>
          </w:tcPr>
          <w:p w14:paraId="6BC99031">
            <w:pPr>
              <w:wordWrap/>
              <w:adjustRightInd/>
              <w:snapToGrid/>
              <w:spacing w:line="4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2、采购的货物必须按合同约定时间和方式交付甲方，发生延期交付的扣1分/天。</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1E0E0F3">
            <w:pPr>
              <w:wordWrap/>
              <w:adjustRightInd/>
              <w:snapToGrid/>
              <w:spacing w:line="400" w:lineRule="exact"/>
              <w:ind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10</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3C3D5339">
            <w:pPr>
              <w:wordWrap/>
              <w:adjustRightInd/>
              <w:snapToGrid/>
              <w:spacing w:line="400" w:lineRule="exact"/>
              <w:ind w:firstLine="0"/>
              <w:rPr>
                <w:rFonts w:hint="eastAsia" w:asciiTheme="minorEastAsia" w:hAnsiTheme="minorEastAsia" w:eastAsiaTheme="minorEastAsia" w:cstheme="minorEastAsia"/>
                <w:sz w:val="21"/>
                <w:szCs w:val="21"/>
                <w:lang w:bidi="ar"/>
              </w:rPr>
            </w:pPr>
          </w:p>
        </w:tc>
      </w:tr>
      <w:tr w14:paraId="2E8162C4">
        <w:tblPrEx>
          <w:tblCellMar>
            <w:top w:w="0" w:type="dxa"/>
            <w:left w:w="108" w:type="dxa"/>
            <w:bottom w:w="0" w:type="dxa"/>
            <w:right w:w="108" w:type="dxa"/>
          </w:tblCellMar>
        </w:tblPrEx>
        <w:trPr>
          <w:trHeight w:val="442" w:hRule="atLeast"/>
          <w:jc w:val="center"/>
        </w:trPr>
        <w:tc>
          <w:tcPr>
            <w:tcW w:w="395" w:type="pct"/>
            <w:vMerge w:val="continue"/>
            <w:tcBorders>
              <w:top w:val="single" w:color="000000" w:sz="4" w:space="0"/>
              <w:left w:val="single" w:color="000000" w:sz="4" w:space="0"/>
              <w:bottom w:val="nil"/>
              <w:right w:val="single" w:color="000000" w:sz="4" w:space="0"/>
            </w:tcBorders>
            <w:noWrap w:val="0"/>
            <w:vAlign w:val="center"/>
          </w:tcPr>
          <w:p w14:paraId="7539F1D4">
            <w:pPr>
              <w:wordWrap/>
              <w:adjustRightInd/>
              <w:snapToGrid/>
              <w:spacing w:line="400" w:lineRule="exact"/>
              <w:ind w:firstLine="0"/>
              <w:rPr>
                <w:rFonts w:hint="eastAsia" w:asciiTheme="minorEastAsia" w:hAnsiTheme="minorEastAsia" w:eastAsiaTheme="minorEastAsia" w:cstheme="minorEastAsia"/>
                <w:sz w:val="21"/>
                <w:szCs w:val="21"/>
              </w:rPr>
            </w:pPr>
          </w:p>
        </w:tc>
        <w:tc>
          <w:tcPr>
            <w:tcW w:w="851" w:type="pct"/>
            <w:vMerge w:val="continue"/>
            <w:tcBorders>
              <w:top w:val="single" w:color="000000" w:sz="4" w:space="0"/>
              <w:left w:val="single" w:color="000000" w:sz="4" w:space="0"/>
              <w:bottom w:val="nil"/>
              <w:right w:val="single" w:color="000000" w:sz="4" w:space="0"/>
            </w:tcBorders>
            <w:noWrap w:val="0"/>
            <w:vAlign w:val="center"/>
          </w:tcPr>
          <w:p w14:paraId="2A4FD9F9">
            <w:pPr>
              <w:wordWrap/>
              <w:adjustRightInd/>
              <w:snapToGrid/>
              <w:spacing w:line="400" w:lineRule="exact"/>
              <w:ind w:firstLine="0"/>
              <w:rPr>
                <w:rFonts w:hint="eastAsia" w:asciiTheme="minorEastAsia" w:hAnsiTheme="minorEastAsia" w:eastAsiaTheme="minorEastAsia" w:cstheme="minorEastAsia"/>
                <w:sz w:val="21"/>
                <w:szCs w:val="21"/>
              </w:rPr>
            </w:pPr>
          </w:p>
        </w:tc>
        <w:tc>
          <w:tcPr>
            <w:tcW w:w="2679" w:type="pct"/>
            <w:tcBorders>
              <w:top w:val="single" w:color="000000" w:sz="4" w:space="0"/>
              <w:left w:val="single" w:color="000000" w:sz="4" w:space="0"/>
              <w:bottom w:val="single" w:color="000000" w:sz="4" w:space="0"/>
              <w:right w:val="single" w:color="000000" w:sz="4" w:space="0"/>
            </w:tcBorders>
            <w:noWrap w:val="0"/>
            <w:vAlign w:val="center"/>
          </w:tcPr>
          <w:p w14:paraId="10C538CC">
            <w:pPr>
              <w:wordWrap/>
              <w:adjustRightInd/>
              <w:snapToGrid/>
              <w:spacing w:line="4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3、设备安装及调试未按合同约定时间和方式完成，对工期进度造成影响，扣2分/次。</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1088BBEE">
            <w:pPr>
              <w:wordWrap/>
              <w:adjustRightInd/>
              <w:snapToGrid/>
              <w:spacing w:line="400" w:lineRule="exact"/>
              <w:ind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10</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1123A622">
            <w:pPr>
              <w:wordWrap/>
              <w:adjustRightInd/>
              <w:snapToGrid/>
              <w:spacing w:line="400" w:lineRule="exact"/>
              <w:ind w:firstLine="0"/>
              <w:rPr>
                <w:rFonts w:hint="eastAsia" w:asciiTheme="minorEastAsia" w:hAnsiTheme="minorEastAsia" w:eastAsiaTheme="minorEastAsia" w:cstheme="minorEastAsia"/>
                <w:sz w:val="21"/>
                <w:szCs w:val="21"/>
                <w:lang w:bidi="ar"/>
              </w:rPr>
            </w:pPr>
          </w:p>
        </w:tc>
      </w:tr>
      <w:tr w14:paraId="676D8C6C">
        <w:tblPrEx>
          <w:tblCellMar>
            <w:top w:w="0" w:type="dxa"/>
            <w:left w:w="108" w:type="dxa"/>
            <w:bottom w:w="0" w:type="dxa"/>
            <w:right w:w="108" w:type="dxa"/>
          </w:tblCellMar>
        </w:tblPrEx>
        <w:trPr>
          <w:trHeight w:val="879" w:hRule="atLeast"/>
          <w:jc w:val="center"/>
        </w:trPr>
        <w:tc>
          <w:tcPr>
            <w:tcW w:w="395" w:type="pct"/>
            <w:vMerge w:val="restart"/>
            <w:tcBorders>
              <w:top w:val="single" w:color="000000" w:sz="4" w:space="0"/>
              <w:left w:val="single" w:color="000000" w:sz="4" w:space="0"/>
              <w:right w:val="single" w:color="000000" w:sz="4" w:space="0"/>
            </w:tcBorders>
            <w:noWrap w:val="0"/>
            <w:vAlign w:val="center"/>
          </w:tcPr>
          <w:p w14:paraId="7B698A32">
            <w:pPr>
              <w:wordWrap/>
              <w:adjustRightInd/>
              <w:snapToGrid/>
              <w:spacing w:line="4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三</w:t>
            </w:r>
          </w:p>
        </w:tc>
        <w:tc>
          <w:tcPr>
            <w:tcW w:w="851" w:type="pct"/>
            <w:vMerge w:val="restart"/>
            <w:tcBorders>
              <w:top w:val="single" w:color="000000" w:sz="4" w:space="0"/>
              <w:left w:val="single" w:color="000000" w:sz="4" w:space="0"/>
              <w:right w:val="single" w:color="000000" w:sz="4" w:space="0"/>
            </w:tcBorders>
            <w:noWrap w:val="0"/>
            <w:vAlign w:val="center"/>
          </w:tcPr>
          <w:p w14:paraId="7FC0AEF0">
            <w:pPr>
              <w:wordWrap/>
              <w:adjustRightInd/>
              <w:snapToGrid/>
              <w:spacing w:line="3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质量管理（</w:t>
            </w:r>
            <w:r>
              <w:rPr>
                <w:rFonts w:hint="eastAsia" w:asciiTheme="minorEastAsia" w:hAnsiTheme="minorEastAsia" w:eastAsiaTheme="minorEastAsia" w:cstheme="minorEastAsia"/>
                <w:sz w:val="21"/>
                <w:szCs w:val="21"/>
                <w:lang w:val="en-US" w:eastAsia="zh-CN" w:bidi="ar"/>
              </w:rPr>
              <w:t>45</w:t>
            </w:r>
            <w:r>
              <w:rPr>
                <w:rFonts w:hint="eastAsia" w:asciiTheme="minorEastAsia" w:hAnsiTheme="minorEastAsia" w:eastAsiaTheme="minorEastAsia" w:cstheme="minorEastAsia"/>
                <w:sz w:val="21"/>
                <w:szCs w:val="21"/>
                <w:lang w:bidi="ar"/>
              </w:rPr>
              <w:t>分） 注：因乙方原因造成重大质量事故的该项不得分</w:t>
            </w:r>
          </w:p>
        </w:tc>
        <w:tc>
          <w:tcPr>
            <w:tcW w:w="2679" w:type="pct"/>
            <w:tcBorders>
              <w:top w:val="single" w:color="000000" w:sz="4" w:space="0"/>
              <w:left w:val="single" w:color="000000" w:sz="4" w:space="0"/>
              <w:bottom w:val="single" w:color="000000" w:sz="4" w:space="0"/>
              <w:right w:val="single" w:color="000000" w:sz="4" w:space="0"/>
            </w:tcBorders>
            <w:noWrap w:val="0"/>
            <w:vAlign w:val="center"/>
          </w:tcPr>
          <w:p w14:paraId="5D26BE43">
            <w:pPr>
              <w:wordWrap/>
              <w:adjustRightInd/>
              <w:snapToGrid/>
              <w:spacing w:line="4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1、各项货物质量指标达到合同要求，及时处理货物的质量问题，按合同要求返工、退换和复原，且经最终验收的货物质量符合合同约定，最终未符合合同约定的扣2分/次。</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409240F3">
            <w:pPr>
              <w:wordWrap/>
              <w:adjustRightInd/>
              <w:snapToGrid/>
              <w:spacing w:line="400" w:lineRule="exact"/>
              <w:ind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8</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53871DF2">
            <w:pPr>
              <w:wordWrap/>
              <w:adjustRightInd/>
              <w:snapToGrid/>
              <w:spacing w:line="400" w:lineRule="exact"/>
              <w:ind w:firstLine="0"/>
              <w:rPr>
                <w:rFonts w:hint="eastAsia" w:asciiTheme="minorEastAsia" w:hAnsiTheme="minorEastAsia" w:eastAsiaTheme="minorEastAsia" w:cstheme="minorEastAsia"/>
                <w:sz w:val="21"/>
                <w:szCs w:val="21"/>
                <w:lang w:bidi="ar"/>
              </w:rPr>
            </w:pPr>
          </w:p>
        </w:tc>
      </w:tr>
      <w:tr w14:paraId="7E3CC216">
        <w:tblPrEx>
          <w:tblCellMar>
            <w:top w:w="0" w:type="dxa"/>
            <w:left w:w="108" w:type="dxa"/>
            <w:bottom w:w="0" w:type="dxa"/>
            <w:right w:w="108" w:type="dxa"/>
          </w:tblCellMar>
        </w:tblPrEx>
        <w:trPr>
          <w:trHeight w:val="879" w:hRule="atLeast"/>
          <w:jc w:val="center"/>
        </w:trPr>
        <w:tc>
          <w:tcPr>
            <w:tcW w:w="395" w:type="pct"/>
            <w:vMerge w:val="continue"/>
            <w:tcBorders>
              <w:left w:val="single" w:color="000000" w:sz="4" w:space="0"/>
              <w:right w:val="single" w:color="000000" w:sz="4" w:space="0"/>
            </w:tcBorders>
            <w:noWrap w:val="0"/>
            <w:vAlign w:val="center"/>
          </w:tcPr>
          <w:p w14:paraId="7272957A">
            <w:pPr>
              <w:wordWrap/>
              <w:adjustRightInd/>
              <w:snapToGrid/>
              <w:spacing w:line="400" w:lineRule="exact"/>
              <w:ind w:firstLine="0"/>
              <w:rPr>
                <w:rFonts w:hint="eastAsia" w:asciiTheme="minorEastAsia" w:hAnsiTheme="minorEastAsia" w:eastAsiaTheme="minorEastAsia" w:cstheme="minorEastAsia"/>
                <w:sz w:val="21"/>
                <w:szCs w:val="21"/>
              </w:rPr>
            </w:pPr>
          </w:p>
        </w:tc>
        <w:tc>
          <w:tcPr>
            <w:tcW w:w="851" w:type="pct"/>
            <w:vMerge w:val="continue"/>
            <w:tcBorders>
              <w:left w:val="single" w:color="000000" w:sz="4" w:space="0"/>
              <w:right w:val="single" w:color="000000" w:sz="4" w:space="0"/>
            </w:tcBorders>
            <w:noWrap w:val="0"/>
            <w:vAlign w:val="center"/>
          </w:tcPr>
          <w:p w14:paraId="47BDADA9">
            <w:pPr>
              <w:wordWrap/>
              <w:adjustRightInd/>
              <w:snapToGrid/>
              <w:spacing w:line="400" w:lineRule="exact"/>
              <w:ind w:firstLine="0"/>
              <w:rPr>
                <w:rFonts w:hint="eastAsia" w:asciiTheme="minorEastAsia" w:hAnsiTheme="minorEastAsia" w:eastAsiaTheme="minorEastAsia" w:cstheme="minorEastAsia"/>
                <w:sz w:val="21"/>
                <w:szCs w:val="21"/>
              </w:rPr>
            </w:pPr>
          </w:p>
        </w:tc>
        <w:tc>
          <w:tcPr>
            <w:tcW w:w="2679" w:type="pct"/>
            <w:tcBorders>
              <w:top w:val="single" w:color="000000" w:sz="4" w:space="0"/>
              <w:left w:val="single" w:color="000000" w:sz="4" w:space="0"/>
              <w:bottom w:val="single" w:color="000000" w:sz="4" w:space="0"/>
              <w:right w:val="single" w:color="000000" w:sz="4" w:space="0"/>
            </w:tcBorders>
            <w:noWrap w:val="0"/>
            <w:vAlign w:val="center"/>
          </w:tcPr>
          <w:p w14:paraId="6ABC865D">
            <w:pPr>
              <w:wordWrap/>
              <w:adjustRightInd/>
              <w:snapToGrid/>
              <w:spacing w:line="4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2、在关键环节有严格的质量控制措施，并且质量控制过程透明，主动接受甲方监督，最终经验收的项目质量符合合同约定。若未编制质量控制方案该项不得分。</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5EAC2620">
            <w:pPr>
              <w:wordWrap/>
              <w:adjustRightInd/>
              <w:snapToGrid/>
              <w:spacing w:line="400" w:lineRule="exact"/>
              <w:ind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5</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0F4C4087">
            <w:pPr>
              <w:wordWrap/>
              <w:adjustRightInd/>
              <w:snapToGrid/>
              <w:spacing w:line="400" w:lineRule="exact"/>
              <w:ind w:firstLine="0"/>
              <w:rPr>
                <w:rFonts w:hint="eastAsia" w:asciiTheme="minorEastAsia" w:hAnsiTheme="minorEastAsia" w:eastAsiaTheme="minorEastAsia" w:cstheme="minorEastAsia"/>
                <w:sz w:val="21"/>
                <w:szCs w:val="21"/>
                <w:lang w:bidi="ar"/>
              </w:rPr>
            </w:pPr>
          </w:p>
        </w:tc>
      </w:tr>
      <w:tr w14:paraId="37045522">
        <w:tblPrEx>
          <w:tblCellMar>
            <w:top w:w="0" w:type="dxa"/>
            <w:left w:w="108" w:type="dxa"/>
            <w:bottom w:w="0" w:type="dxa"/>
            <w:right w:w="108" w:type="dxa"/>
          </w:tblCellMar>
        </w:tblPrEx>
        <w:trPr>
          <w:trHeight w:val="442" w:hRule="atLeast"/>
          <w:jc w:val="center"/>
        </w:trPr>
        <w:tc>
          <w:tcPr>
            <w:tcW w:w="395" w:type="pct"/>
            <w:vMerge w:val="continue"/>
            <w:tcBorders>
              <w:left w:val="single" w:color="000000" w:sz="4" w:space="0"/>
              <w:right w:val="single" w:color="000000" w:sz="4" w:space="0"/>
            </w:tcBorders>
            <w:noWrap w:val="0"/>
            <w:vAlign w:val="center"/>
          </w:tcPr>
          <w:p w14:paraId="419D8860">
            <w:pPr>
              <w:wordWrap/>
              <w:adjustRightInd/>
              <w:snapToGrid/>
              <w:spacing w:line="400" w:lineRule="exact"/>
              <w:ind w:firstLine="0"/>
              <w:rPr>
                <w:rFonts w:hint="eastAsia" w:asciiTheme="minorEastAsia" w:hAnsiTheme="minorEastAsia" w:eastAsiaTheme="minorEastAsia" w:cstheme="minorEastAsia"/>
                <w:sz w:val="21"/>
                <w:szCs w:val="21"/>
              </w:rPr>
            </w:pPr>
          </w:p>
        </w:tc>
        <w:tc>
          <w:tcPr>
            <w:tcW w:w="851" w:type="pct"/>
            <w:vMerge w:val="continue"/>
            <w:tcBorders>
              <w:left w:val="single" w:color="000000" w:sz="4" w:space="0"/>
              <w:right w:val="single" w:color="000000" w:sz="4" w:space="0"/>
            </w:tcBorders>
            <w:noWrap w:val="0"/>
            <w:vAlign w:val="center"/>
          </w:tcPr>
          <w:p w14:paraId="0082DBF8">
            <w:pPr>
              <w:wordWrap/>
              <w:adjustRightInd/>
              <w:snapToGrid/>
              <w:spacing w:line="400" w:lineRule="exact"/>
              <w:ind w:firstLine="0"/>
              <w:rPr>
                <w:rFonts w:hint="eastAsia" w:asciiTheme="minorEastAsia" w:hAnsiTheme="minorEastAsia" w:eastAsiaTheme="minorEastAsia" w:cstheme="minorEastAsia"/>
                <w:sz w:val="21"/>
                <w:szCs w:val="21"/>
              </w:rPr>
            </w:pPr>
          </w:p>
        </w:tc>
        <w:tc>
          <w:tcPr>
            <w:tcW w:w="2679" w:type="pct"/>
            <w:tcBorders>
              <w:top w:val="single" w:color="000000" w:sz="4" w:space="0"/>
              <w:left w:val="single" w:color="000000" w:sz="4" w:space="0"/>
              <w:bottom w:val="single" w:color="000000" w:sz="4" w:space="0"/>
              <w:right w:val="single" w:color="000000" w:sz="4" w:space="0"/>
            </w:tcBorders>
            <w:noWrap w:val="0"/>
            <w:vAlign w:val="center"/>
          </w:tcPr>
          <w:p w14:paraId="55F8B542">
            <w:pPr>
              <w:wordWrap/>
              <w:adjustRightInd/>
              <w:snapToGrid/>
              <w:spacing w:line="4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3、选用的材料、设备等技术要求及参数只允许正偏离，有负偏离的不得分</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0FA1BDBD">
            <w:pPr>
              <w:wordWrap/>
              <w:adjustRightInd/>
              <w:snapToGrid/>
              <w:spacing w:line="400" w:lineRule="exact"/>
              <w:ind w:firstLine="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3E9271A9">
            <w:pPr>
              <w:wordWrap/>
              <w:adjustRightInd/>
              <w:snapToGrid/>
              <w:spacing w:line="400" w:lineRule="exact"/>
              <w:ind w:firstLine="0"/>
              <w:rPr>
                <w:rFonts w:hint="eastAsia" w:asciiTheme="minorEastAsia" w:hAnsiTheme="minorEastAsia" w:eastAsiaTheme="minorEastAsia" w:cstheme="minorEastAsia"/>
                <w:sz w:val="21"/>
                <w:szCs w:val="21"/>
                <w:lang w:bidi="ar"/>
              </w:rPr>
            </w:pPr>
          </w:p>
        </w:tc>
      </w:tr>
      <w:tr w14:paraId="00AF61B1">
        <w:tblPrEx>
          <w:tblCellMar>
            <w:top w:w="0" w:type="dxa"/>
            <w:left w:w="108" w:type="dxa"/>
            <w:bottom w:w="0" w:type="dxa"/>
            <w:right w:w="108" w:type="dxa"/>
          </w:tblCellMar>
        </w:tblPrEx>
        <w:trPr>
          <w:trHeight w:val="90" w:hRule="atLeast"/>
          <w:jc w:val="center"/>
        </w:trPr>
        <w:tc>
          <w:tcPr>
            <w:tcW w:w="395" w:type="pct"/>
            <w:vMerge w:val="continue"/>
            <w:tcBorders>
              <w:left w:val="single" w:color="000000" w:sz="4" w:space="0"/>
              <w:right w:val="single" w:color="000000" w:sz="4" w:space="0"/>
            </w:tcBorders>
            <w:noWrap w:val="0"/>
            <w:vAlign w:val="center"/>
          </w:tcPr>
          <w:p w14:paraId="70381792">
            <w:pPr>
              <w:wordWrap/>
              <w:adjustRightInd/>
              <w:snapToGrid/>
              <w:spacing w:line="400" w:lineRule="exact"/>
              <w:ind w:firstLine="0"/>
              <w:rPr>
                <w:rFonts w:hint="eastAsia" w:asciiTheme="minorEastAsia" w:hAnsiTheme="minorEastAsia" w:eastAsiaTheme="minorEastAsia" w:cstheme="minorEastAsia"/>
                <w:sz w:val="21"/>
                <w:szCs w:val="21"/>
              </w:rPr>
            </w:pPr>
          </w:p>
        </w:tc>
        <w:tc>
          <w:tcPr>
            <w:tcW w:w="851" w:type="pct"/>
            <w:vMerge w:val="continue"/>
            <w:tcBorders>
              <w:left w:val="single" w:color="000000" w:sz="4" w:space="0"/>
              <w:right w:val="single" w:color="000000" w:sz="4" w:space="0"/>
            </w:tcBorders>
            <w:noWrap w:val="0"/>
            <w:vAlign w:val="center"/>
          </w:tcPr>
          <w:p w14:paraId="6A043048">
            <w:pPr>
              <w:wordWrap/>
              <w:adjustRightInd/>
              <w:snapToGrid/>
              <w:spacing w:line="400" w:lineRule="exact"/>
              <w:ind w:firstLine="0"/>
              <w:rPr>
                <w:rFonts w:hint="eastAsia" w:asciiTheme="minorEastAsia" w:hAnsiTheme="minorEastAsia" w:eastAsiaTheme="minorEastAsia" w:cstheme="minorEastAsia"/>
                <w:sz w:val="21"/>
                <w:szCs w:val="21"/>
              </w:rPr>
            </w:pPr>
          </w:p>
        </w:tc>
        <w:tc>
          <w:tcPr>
            <w:tcW w:w="2679" w:type="pct"/>
            <w:tcBorders>
              <w:top w:val="single" w:color="000000" w:sz="4" w:space="0"/>
              <w:left w:val="single" w:color="000000" w:sz="4" w:space="0"/>
              <w:bottom w:val="single" w:color="000000" w:sz="4" w:space="0"/>
              <w:right w:val="single" w:color="000000" w:sz="4" w:space="0"/>
            </w:tcBorders>
            <w:noWrap w:val="0"/>
            <w:vAlign w:val="center"/>
          </w:tcPr>
          <w:p w14:paraId="12E9389F">
            <w:pPr>
              <w:wordWrap/>
              <w:adjustRightInd/>
              <w:snapToGrid/>
              <w:spacing w:line="4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4、须保证提供的各类交付货物资料完整、清晰、正确以满足项目的后期投运正常使用，满足甲方的要求，不满足的扣1分/处。</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06FC8DE">
            <w:pPr>
              <w:wordWrap/>
              <w:adjustRightInd/>
              <w:snapToGrid/>
              <w:spacing w:line="400" w:lineRule="exact"/>
              <w:ind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6</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38DD1F42">
            <w:pPr>
              <w:wordWrap/>
              <w:adjustRightInd/>
              <w:snapToGrid/>
              <w:spacing w:line="400" w:lineRule="exact"/>
              <w:ind w:firstLine="0"/>
              <w:rPr>
                <w:rFonts w:hint="eastAsia" w:asciiTheme="minorEastAsia" w:hAnsiTheme="minorEastAsia" w:eastAsiaTheme="minorEastAsia" w:cstheme="minorEastAsia"/>
                <w:sz w:val="21"/>
                <w:szCs w:val="21"/>
                <w:lang w:bidi="ar"/>
              </w:rPr>
            </w:pPr>
          </w:p>
        </w:tc>
      </w:tr>
      <w:tr w14:paraId="3F8F1BB5">
        <w:tblPrEx>
          <w:tblCellMar>
            <w:top w:w="0" w:type="dxa"/>
            <w:left w:w="108" w:type="dxa"/>
            <w:bottom w:w="0" w:type="dxa"/>
            <w:right w:w="108" w:type="dxa"/>
          </w:tblCellMar>
        </w:tblPrEx>
        <w:trPr>
          <w:trHeight w:val="1224" w:hRule="atLeast"/>
          <w:jc w:val="center"/>
        </w:trPr>
        <w:tc>
          <w:tcPr>
            <w:tcW w:w="395" w:type="pct"/>
            <w:vMerge w:val="continue"/>
            <w:tcBorders>
              <w:left w:val="single" w:color="000000" w:sz="4" w:space="0"/>
              <w:right w:val="single" w:color="000000" w:sz="4" w:space="0"/>
            </w:tcBorders>
            <w:noWrap w:val="0"/>
            <w:vAlign w:val="center"/>
          </w:tcPr>
          <w:p w14:paraId="2E86BC4D">
            <w:pPr>
              <w:wordWrap/>
              <w:adjustRightInd/>
              <w:snapToGrid/>
              <w:spacing w:line="400" w:lineRule="exact"/>
              <w:ind w:firstLine="0"/>
              <w:rPr>
                <w:rFonts w:hint="eastAsia" w:asciiTheme="minorEastAsia" w:hAnsiTheme="minorEastAsia" w:eastAsiaTheme="minorEastAsia" w:cstheme="minorEastAsia"/>
                <w:sz w:val="21"/>
                <w:szCs w:val="21"/>
              </w:rPr>
            </w:pPr>
          </w:p>
        </w:tc>
        <w:tc>
          <w:tcPr>
            <w:tcW w:w="851" w:type="pct"/>
            <w:vMerge w:val="continue"/>
            <w:tcBorders>
              <w:left w:val="single" w:color="000000" w:sz="4" w:space="0"/>
              <w:right w:val="single" w:color="000000" w:sz="4" w:space="0"/>
            </w:tcBorders>
            <w:noWrap w:val="0"/>
            <w:vAlign w:val="center"/>
          </w:tcPr>
          <w:p w14:paraId="755613ED">
            <w:pPr>
              <w:wordWrap/>
              <w:adjustRightInd/>
              <w:snapToGrid/>
              <w:spacing w:line="400" w:lineRule="exact"/>
              <w:ind w:firstLine="0"/>
              <w:rPr>
                <w:rFonts w:hint="eastAsia" w:asciiTheme="minorEastAsia" w:hAnsiTheme="minorEastAsia" w:eastAsiaTheme="minorEastAsia" w:cstheme="minorEastAsia"/>
                <w:sz w:val="21"/>
                <w:szCs w:val="21"/>
              </w:rPr>
            </w:pPr>
          </w:p>
        </w:tc>
        <w:tc>
          <w:tcPr>
            <w:tcW w:w="2679" w:type="pct"/>
            <w:tcBorders>
              <w:top w:val="single" w:color="000000" w:sz="4" w:space="0"/>
              <w:left w:val="single" w:color="000000" w:sz="4" w:space="0"/>
              <w:bottom w:val="single" w:color="000000" w:sz="4" w:space="0"/>
              <w:right w:val="single" w:color="000000" w:sz="4" w:space="0"/>
            </w:tcBorders>
            <w:noWrap w:val="0"/>
            <w:vAlign w:val="center"/>
          </w:tcPr>
          <w:p w14:paraId="0D6AFEA8">
            <w:pPr>
              <w:wordWrap/>
              <w:adjustRightInd/>
              <w:snapToGrid/>
              <w:spacing w:line="400" w:lineRule="exact"/>
              <w:ind w:firstLine="0"/>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5、质保期内按合同要求提供质保服务，按合同要求返工、退换和复原。若未按合同要求提供质保服务的，该项不得分。</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58C82E20">
            <w:pPr>
              <w:wordWrap/>
              <w:adjustRightInd/>
              <w:snapToGrid/>
              <w:spacing w:line="400" w:lineRule="exact"/>
              <w:ind w:firstLine="0"/>
              <w:jc w:val="center"/>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10</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3E3609D1">
            <w:pPr>
              <w:wordWrap/>
              <w:adjustRightInd/>
              <w:snapToGrid/>
              <w:spacing w:line="400" w:lineRule="exact"/>
              <w:ind w:firstLine="0"/>
              <w:rPr>
                <w:rFonts w:hint="eastAsia" w:asciiTheme="minorEastAsia" w:hAnsiTheme="minorEastAsia" w:eastAsiaTheme="minorEastAsia" w:cstheme="minorEastAsia"/>
                <w:sz w:val="21"/>
                <w:szCs w:val="21"/>
                <w:lang w:bidi="ar"/>
              </w:rPr>
            </w:pPr>
          </w:p>
        </w:tc>
      </w:tr>
      <w:tr w14:paraId="7EF5F565">
        <w:tblPrEx>
          <w:tblCellMar>
            <w:top w:w="0" w:type="dxa"/>
            <w:left w:w="108" w:type="dxa"/>
            <w:bottom w:w="0" w:type="dxa"/>
            <w:right w:w="108" w:type="dxa"/>
          </w:tblCellMar>
        </w:tblPrEx>
        <w:trPr>
          <w:trHeight w:val="824" w:hRule="atLeast"/>
          <w:jc w:val="center"/>
        </w:trPr>
        <w:tc>
          <w:tcPr>
            <w:tcW w:w="395" w:type="pct"/>
            <w:vMerge w:val="continue"/>
            <w:tcBorders>
              <w:left w:val="single" w:color="000000" w:sz="4" w:space="0"/>
              <w:bottom w:val="single" w:color="000000" w:sz="4" w:space="0"/>
              <w:right w:val="single" w:color="000000" w:sz="4" w:space="0"/>
            </w:tcBorders>
            <w:noWrap w:val="0"/>
            <w:vAlign w:val="center"/>
          </w:tcPr>
          <w:p w14:paraId="6F6DF416">
            <w:pPr>
              <w:wordWrap/>
              <w:adjustRightInd/>
              <w:snapToGrid/>
              <w:spacing w:line="400" w:lineRule="exact"/>
              <w:ind w:firstLine="0"/>
              <w:rPr>
                <w:rFonts w:hint="eastAsia" w:asciiTheme="minorEastAsia" w:hAnsiTheme="minorEastAsia" w:eastAsiaTheme="minorEastAsia" w:cstheme="minorEastAsia"/>
                <w:sz w:val="21"/>
                <w:szCs w:val="21"/>
                <w:lang w:bidi="ar"/>
              </w:rPr>
            </w:pPr>
          </w:p>
        </w:tc>
        <w:tc>
          <w:tcPr>
            <w:tcW w:w="851" w:type="pct"/>
            <w:vMerge w:val="continue"/>
            <w:tcBorders>
              <w:left w:val="single" w:color="000000" w:sz="4" w:space="0"/>
              <w:bottom w:val="single" w:color="000000" w:sz="4" w:space="0"/>
              <w:right w:val="single" w:color="000000" w:sz="4" w:space="0"/>
            </w:tcBorders>
            <w:noWrap w:val="0"/>
            <w:vAlign w:val="center"/>
          </w:tcPr>
          <w:p w14:paraId="6FAB06F6">
            <w:pPr>
              <w:wordWrap/>
              <w:adjustRightInd/>
              <w:snapToGrid/>
              <w:spacing w:line="300" w:lineRule="exact"/>
              <w:ind w:firstLine="0"/>
              <w:rPr>
                <w:rFonts w:hint="eastAsia" w:asciiTheme="minorEastAsia" w:hAnsiTheme="minorEastAsia" w:eastAsiaTheme="minorEastAsia" w:cstheme="minorEastAsia"/>
                <w:sz w:val="21"/>
                <w:szCs w:val="21"/>
                <w:lang w:bidi="ar"/>
              </w:rPr>
            </w:pPr>
          </w:p>
        </w:tc>
        <w:tc>
          <w:tcPr>
            <w:tcW w:w="2679" w:type="pct"/>
            <w:tcBorders>
              <w:top w:val="single" w:color="000000" w:sz="4" w:space="0"/>
              <w:left w:val="single" w:color="000000" w:sz="4" w:space="0"/>
              <w:bottom w:val="single" w:color="000000" w:sz="4" w:space="0"/>
              <w:right w:val="single" w:color="000000" w:sz="4" w:space="0"/>
            </w:tcBorders>
            <w:noWrap w:val="0"/>
            <w:vAlign w:val="center"/>
          </w:tcPr>
          <w:p w14:paraId="41A9791A">
            <w:pPr>
              <w:wordWrap/>
              <w:adjustRightInd/>
              <w:snapToGrid/>
              <w:spacing w:line="400" w:lineRule="exact"/>
              <w:ind w:firstLine="0"/>
              <w:rPr>
                <w:rFonts w:hint="eastAsia" w:asciiTheme="minorEastAsia" w:hAnsiTheme="minorEastAsia" w:eastAsiaTheme="minorEastAsia" w:cstheme="minorEastAsia"/>
                <w:sz w:val="21"/>
                <w:szCs w:val="21"/>
                <w:lang w:val="en-US" w:eastAsia="zh-CN" w:bidi="ar"/>
              </w:rPr>
            </w:pPr>
            <w:r>
              <w:rPr>
                <w:rFonts w:hint="eastAsia" w:asciiTheme="minorEastAsia" w:hAnsiTheme="minorEastAsia" w:eastAsiaTheme="minorEastAsia" w:cstheme="minorEastAsia"/>
                <w:sz w:val="21"/>
                <w:szCs w:val="21"/>
                <w:lang w:val="en-US" w:eastAsia="zh-CN" w:bidi="ar"/>
              </w:rPr>
              <w:t>6、配合总包单位完成图纸优化，根据配合度进行综合打分。</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335096A4">
            <w:pPr>
              <w:wordWrap/>
              <w:adjustRightInd/>
              <w:snapToGrid/>
              <w:spacing w:line="400" w:lineRule="exact"/>
              <w:ind w:firstLine="0"/>
              <w:jc w:val="center"/>
              <w:rPr>
                <w:rFonts w:hint="eastAsia" w:asciiTheme="minorEastAsia" w:hAnsiTheme="minorEastAsia" w:eastAsiaTheme="minorEastAsia" w:cstheme="minorEastAsia"/>
                <w:sz w:val="21"/>
                <w:szCs w:val="21"/>
                <w:lang w:val="en-US" w:eastAsia="zh-CN" w:bidi="ar"/>
              </w:rPr>
            </w:pPr>
            <w:r>
              <w:rPr>
                <w:rFonts w:hint="eastAsia" w:asciiTheme="minorEastAsia" w:hAnsiTheme="minorEastAsia" w:eastAsiaTheme="minorEastAsia" w:cstheme="minorEastAsia"/>
                <w:sz w:val="21"/>
                <w:szCs w:val="21"/>
                <w:lang w:val="en-US" w:eastAsia="zh-CN" w:bidi="ar"/>
              </w:rPr>
              <w:t>10</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1F2C5321">
            <w:pPr>
              <w:wordWrap/>
              <w:adjustRightInd/>
              <w:snapToGrid/>
              <w:spacing w:line="400" w:lineRule="exact"/>
              <w:ind w:firstLine="0"/>
              <w:rPr>
                <w:rFonts w:hint="eastAsia" w:asciiTheme="minorEastAsia" w:hAnsiTheme="minorEastAsia" w:eastAsiaTheme="minorEastAsia" w:cstheme="minorEastAsia"/>
                <w:sz w:val="21"/>
                <w:szCs w:val="21"/>
                <w:lang w:bidi="ar"/>
              </w:rPr>
            </w:pPr>
          </w:p>
        </w:tc>
      </w:tr>
      <w:tr w14:paraId="4A33D94F">
        <w:tblPrEx>
          <w:tblCellMar>
            <w:top w:w="0" w:type="dxa"/>
            <w:left w:w="108" w:type="dxa"/>
            <w:bottom w:w="0" w:type="dxa"/>
            <w:right w:w="108" w:type="dxa"/>
          </w:tblCellMar>
        </w:tblPrEx>
        <w:trPr>
          <w:trHeight w:val="824" w:hRule="atLeast"/>
          <w:jc w:val="center"/>
        </w:trPr>
        <w:tc>
          <w:tcPr>
            <w:tcW w:w="395" w:type="pct"/>
            <w:tcBorders>
              <w:top w:val="single" w:color="000000" w:sz="4" w:space="0"/>
              <w:left w:val="single" w:color="000000" w:sz="4" w:space="0"/>
              <w:bottom w:val="single" w:color="000000" w:sz="4" w:space="0"/>
              <w:right w:val="single" w:color="000000" w:sz="4" w:space="0"/>
            </w:tcBorders>
            <w:noWrap w:val="0"/>
            <w:vAlign w:val="center"/>
          </w:tcPr>
          <w:p w14:paraId="0FA14196">
            <w:pPr>
              <w:wordWrap/>
              <w:adjustRightInd/>
              <w:snapToGrid/>
              <w:spacing w:line="4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四</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14:paraId="4098F4F8">
            <w:pPr>
              <w:wordWrap/>
              <w:adjustRightInd/>
              <w:snapToGrid/>
              <w:spacing w:line="3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安全管理（5分） 注：因乙方原因导致重大安全事故的该项不得分</w:t>
            </w:r>
          </w:p>
        </w:tc>
        <w:tc>
          <w:tcPr>
            <w:tcW w:w="2679" w:type="pct"/>
            <w:tcBorders>
              <w:top w:val="single" w:color="000000" w:sz="4" w:space="0"/>
              <w:left w:val="single" w:color="000000" w:sz="4" w:space="0"/>
              <w:bottom w:val="single" w:color="000000" w:sz="4" w:space="0"/>
              <w:right w:val="single" w:color="000000" w:sz="4" w:space="0"/>
            </w:tcBorders>
            <w:noWrap w:val="0"/>
            <w:vAlign w:val="center"/>
          </w:tcPr>
          <w:p w14:paraId="07BAEBAF">
            <w:pPr>
              <w:wordWrap/>
              <w:adjustRightInd/>
              <w:snapToGrid/>
              <w:spacing w:line="4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1、产品及服务无安全隐患；能及时解决存在的安全问题，降低安全风险。因乙方原因在项目实施过程中造成的各类安全事故，扣1分/次。</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28F5C853">
            <w:pPr>
              <w:wordWrap/>
              <w:adjustRightInd/>
              <w:snapToGrid/>
              <w:spacing w:line="400" w:lineRule="exact"/>
              <w:ind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5</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68460E80">
            <w:pPr>
              <w:wordWrap/>
              <w:adjustRightInd/>
              <w:snapToGrid/>
              <w:spacing w:line="400" w:lineRule="exact"/>
              <w:ind w:firstLine="0"/>
              <w:rPr>
                <w:rFonts w:hint="eastAsia" w:asciiTheme="minorEastAsia" w:hAnsiTheme="minorEastAsia" w:eastAsiaTheme="minorEastAsia" w:cstheme="minorEastAsia"/>
                <w:sz w:val="21"/>
                <w:szCs w:val="21"/>
                <w:lang w:bidi="ar"/>
              </w:rPr>
            </w:pPr>
          </w:p>
        </w:tc>
      </w:tr>
      <w:tr w14:paraId="0432BBA3">
        <w:tblPrEx>
          <w:tblCellMar>
            <w:top w:w="0" w:type="dxa"/>
            <w:left w:w="108" w:type="dxa"/>
            <w:bottom w:w="0" w:type="dxa"/>
            <w:right w:w="108" w:type="dxa"/>
          </w:tblCellMar>
        </w:tblPrEx>
        <w:trPr>
          <w:trHeight w:val="879" w:hRule="atLeast"/>
          <w:jc w:val="center"/>
        </w:trPr>
        <w:tc>
          <w:tcPr>
            <w:tcW w:w="395" w:type="pct"/>
            <w:vMerge w:val="restart"/>
            <w:tcBorders>
              <w:top w:val="single" w:color="000000" w:sz="4" w:space="0"/>
              <w:left w:val="single" w:color="000000" w:sz="4" w:space="0"/>
              <w:bottom w:val="single" w:color="000000" w:sz="4" w:space="0"/>
              <w:right w:val="single" w:color="000000" w:sz="4" w:space="0"/>
            </w:tcBorders>
            <w:noWrap w:val="0"/>
            <w:vAlign w:val="center"/>
          </w:tcPr>
          <w:p w14:paraId="127BF490">
            <w:pPr>
              <w:wordWrap/>
              <w:adjustRightInd/>
              <w:snapToGrid/>
              <w:spacing w:line="4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五</w:t>
            </w:r>
          </w:p>
        </w:tc>
        <w:tc>
          <w:tcPr>
            <w:tcW w:w="851" w:type="pct"/>
            <w:vMerge w:val="restart"/>
            <w:tcBorders>
              <w:top w:val="single" w:color="000000" w:sz="4" w:space="0"/>
              <w:left w:val="single" w:color="000000" w:sz="4" w:space="0"/>
              <w:bottom w:val="single" w:color="000000" w:sz="4" w:space="0"/>
              <w:right w:val="single" w:color="000000" w:sz="4" w:space="0"/>
            </w:tcBorders>
            <w:noWrap w:val="0"/>
            <w:vAlign w:val="center"/>
          </w:tcPr>
          <w:p w14:paraId="0E0DD944">
            <w:pPr>
              <w:wordWrap/>
              <w:adjustRightInd/>
              <w:snapToGrid/>
              <w:spacing w:line="4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资金管理（1</w:t>
            </w:r>
            <w:r>
              <w:rPr>
                <w:rFonts w:hint="eastAsia" w:asciiTheme="minorEastAsia" w:hAnsiTheme="minorEastAsia" w:eastAsiaTheme="minorEastAsia" w:cstheme="minorEastAsia"/>
                <w:sz w:val="21"/>
                <w:szCs w:val="21"/>
                <w:lang w:val="en-US" w:eastAsia="zh-CN" w:bidi="ar"/>
              </w:rPr>
              <w:t>5</w:t>
            </w:r>
            <w:r>
              <w:rPr>
                <w:rFonts w:hint="eastAsia" w:asciiTheme="minorEastAsia" w:hAnsiTheme="minorEastAsia" w:eastAsiaTheme="minorEastAsia" w:cstheme="minorEastAsia"/>
                <w:sz w:val="21"/>
                <w:szCs w:val="21"/>
                <w:lang w:bidi="ar"/>
              </w:rPr>
              <w:t>分）</w:t>
            </w:r>
          </w:p>
        </w:tc>
        <w:tc>
          <w:tcPr>
            <w:tcW w:w="2679" w:type="pct"/>
            <w:tcBorders>
              <w:top w:val="single" w:color="000000" w:sz="4" w:space="0"/>
              <w:left w:val="single" w:color="000000" w:sz="4" w:space="0"/>
              <w:bottom w:val="single" w:color="000000" w:sz="4" w:space="0"/>
              <w:right w:val="single" w:color="000000" w:sz="4" w:space="0"/>
            </w:tcBorders>
            <w:noWrap w:val="0"/>
            <w:vAlign w:val="center"/>
          </w:tcPr>
          <w:p w14:paraId="7B897C1E">
            <w:pPr>
              <w:wordWrap/>
              <w:adjustRightInd/>
              <w:snapToGrid/>
              <w:spacing w:line="4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1、及时按照要求缴纳履约保证金。积极配合响应本公司提出的付款条件、付款要求以及付款方法，开具的付款发票准确、及时，符合有关财税要求。未达到的，</w:t>
            </w:r>
            <w:r>
              <w:rPr>
                <w:rFonts w:hint="eastAsia" w:asciiTheme="minorEastAsia" w:hAnsiTheme="minorEastAsia" w:eastAsiaTheme="minorEastAsia" w:cstheme="minorEastAsia"/>
                <w:sz w:val="21"/>
                <w:szCs w:val="21"/>
                <w:lang w:bidi="ar"/>
              </w:rPr>
              <w:t>扣1分/次。</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28D85634">
            <w:pPr>
              <w:wordWrap/>
              <w:adjustRightInd/>
              <w:snapToGrid/>
              <w:spacing w:line="400" w:lineRule="exact"/>
              <w:ind w:firstLine="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2FA5D12C">
            <w:pPr>
              <w:wordWrap/>
              <w:adjustRightInd/>
              <w:snapToGrid/>
              <w:spacing w:line="400" w:lineRule="exact"/>
              <w:ind w:firstLine="0"/>
              <w:rPr>
                <w:rFonts w:hint="eastAsia" w:asciiTheme="minorEastAsia" w:hAnsiTheme="minorEastAsia" w:eastAsiaTheme="minorEastAsia" w:cstheme="minorEastAsia"/>
                <w:sz w:val="21"/>
                <w:szCs w:val="21"/>
                <w:lang w:bidi="ar"/>
              </w:rPr>
            </w:pPr>
          </w:p>
        </w:tc>
      </w:tr>
      <w:tr w14:paraId="42B6BF7F">
        <w:tblPrEx>
          <w:tblCellMar>
            <w:top w:w="0" w:type="dxa"/>
            <w:left w:w="108" w:type="dxa"/>
            <w:bottom w:w="0" w:type="dxa"/>
            <w:right w:w="108" w:type="dxa"/>
          </w:tblCellMar>
        </w:tblPrEx>
        <w:trPr>
          <w:trHeight w:val="687" w:hRule="atLeast"/>
          <w:jc w:val="center"/>
        </w:trPr>
        <w:tc>
          <w:tcPr>
            <w:tcW w:w="3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D64A33">
            <w:pPr>
              <w:wordWrap/>
              <w:adjustRightInd/>
              <w:snapToGrid/>
              <w:spacing w:line="400" w:lineRule="exact"/>
              <w:ind w:firstLine="0"/>
              <w:rPr>
                <w:rFonts w:hint="eastAsia" w:asciiTheme="minorEastAsia" w:hAnsiTheme="minorEastAsia" w:eastAsiaTheme="minorEastAsia" w:cstheme="minorEastAsia"/>
                <w:sz w:val="21"/>
                <w:szCs w:val="21"/>
              </w:rPr>
            </w:pPr>
          </w:p>
        </w:tc>
        <w:tc>
          <w:tcPr>
            <w:tcW w:w="8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8AC188">
            <w:pPr>
              <w:wordWrap/>
              <w:adjustRightInd/>
              <w:snapToGrid/>
              <w:spacing w:line="400" w:lineRule="exact"/>
              <w:ind w:firstLine="0"/>
              <w:rPr>
                <w:rFonts w:hint="eastAsia" w:asciiTheme="minorEastAsia" w:hAnsiTheme="minorEastAsia" w:eastAsiaTheme="minorEastAsia" w:cstheme="minorEastAsia"/>
                <w:sz w:val="21"/>
                <w:szCs w:val="21"/>
              </w:rPr>
            </w:pPr>
          </w:p>
        </w:tc>
        <w:tc>
          <w:tcPr>
            <w:tcW w:w="2679" w:type="pct"/>
            <w:tcBorders>
              <w:top w:val="single" w:color="000000" w:sz="4" w:space="0"/>
              <w:left w:val="single" w:color="000000" w:sz="4" w:space="0"/>
              <w:bottom w:val="single" w:color="000000" w:sz="4" w:space="0"/>
              <w:right w:val="single" w:color="000000" w:sz="4" w:space="0"/>
            </w:tcBorders>
            <w:noWrap w:val="0"/>
            <w:vAlign w:val="center"/>
          </w:tcPr>
          <w:p w14:paraId="0DC23CA9">
            <w:pPr>
              <w:wordWrap/>
              <w:adjustRightInd/>
              <w:snapToGrid/>
              <w:spacing w:line="4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2、及时按照采购文件的合同条款及格式签订合同（包括安全和廉洁相关的条款），并且合同内容符合相关的法律法规。</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2421614B">
            <w:pPr>
              <w:wordWrap/>
              <w:adjustRightInd/>
              <w:snapToGrid/>
              <w:spacing w:line="400" w:lineRule="exact"/>
              <w:ind w:firstLine="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11D74425">
            <w:pPr>
              <w:wordWrap/>
              <w:adjustRightInd/>
              <w:snapToGrid/>
              <w:spacing w:line="400" w:lineRule="exact"/>
              <w:ind w:firstLine="0"/>
              <w:rPr>
                <w:rFonts w:hint="eastAsia" w:asciiTheme="minorEastAsia" w:hAnsiTheme="minorEastAsia" w:eastAsiaTheme="minorEastAsia" w:cstheme="minorEastAsia"/>
                <w:sz w:val="21"/>
                <w:szCs w:val="21"/>
                <w:lang w:bidi="ar"/>
              </w:rPr>
            </w:pPr>
          </w:p>
        </w:tc>
      </w:tr>
      <w:tr w14:paraId="54A775F0">
        <w:tblPrEx>
          <w:tblCellMar>
            <w:top w:w="0" w:type="dxa"/>
            <w:left w:w="108" w:type="dxa"/>
            <w:bottom w:w="0" w:type="dxa"/>
            <w:right w:w="108" w:type="dxa"/>
          </w:tblCellMar>
        </w:tblPrEx>
        <w:trPr>
          <w:trHeight w:val="442" w:hRule="atLeast"/>
          <w:jc w:val="center"/>
        </w:trPr>
        <w:tc>
          <w:tcPr>
            <w:tcW w:w="3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17B6BB">
            <w:pPr>
              <w:wordWrap/>
              <w:adjustRightInd/>
              <w:snapToGrid/>
              <w:spacing w:line="400" w:lineRule="exact"/>
              <w:ind w:firstLine="0"/>
              <w:rPr>
                <w:rFonts w:hint="eastAsia" w:asciiTheme="minorEastAsia" w:hAnsiTheme="minorEastAsia" w:eastAsiaTheme="minorEastAsia" w:cstheme="minorEastAsia"/>
                <w:sz w:val="21"/>
                <w:szCs w:val="21"/>
              </w:rPr>
            </w:pPr>
          </w:p>
        </w:tc>
        <w:tc>
          <w:tcPr>
            <w:tcW w:w="8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FCA8D9">
            <w:pPr>
              <w:wordWrap/>
              <w:adjustRightInd/>
              <w:snapToGrid/>
              <w:spacing w:line="400" w:lineRule="exact"/>
              <w:ind w:firstLine="0"/>
              <w:rPr>
                <w:rFonts w:hint="eastAsia" w:asciiTheme="minorEastAsia" w:hAnsiTheme="minorEastAsia" w:eastAsiaTheme="minorEastAsia" w:cstheme="minorEastAsia"/>
                <w:sz w:val="21"/>
                <w:szCs w:val="21"/>
              </w:rPr>
            </w:pPr>
          </w:p>
        </w:tc>
        <w:tc>
          <w:tcPr>
            <w:tcW w:w="2679" w:type="pct"/>
            <w:tcBorders>
              <w:top w:val="single" w:color="000000" w:sz="4" w:space="0"/>
              <w:left w:val="single" w:color="000000" w:sz="4" w:space="0"/>
              <w:bottom w:val="single" w:color="000000" w:sz="4" w:space="0"/>
              <w:right w:val="nil"/>
            </w:tcBorders>
            <w:noWrap w:val="0"/>
            <w:vAlign w:val="center"/>
          </w:tcPr>
          <w:p w14:paraId="1B5A95FE">
            <w:pPr>
              <w:wordWrap/>
              <w:adjustRightInd/>
              <w:snapToGrid/>
              <w:spacing w:line="4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3、按照合同约定履行合同义务，发生违约行为不得分</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572B6B77">
            <w:pPr>
              <w:wordWrap/>
              <w:adjustRightInd/>
              <w:snapToGrid/>
              <w:spacing w:line="400" w:lineRule="exact"/>
              <w:ind w:firstLine="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7517AD9C">
            <w:pPr>
              <w:wordWrap/>
              <w:adjustRightInd/>
              <w:snapToGrid/>
              <w:spacing w:line="400" w:lineRule="exact"/>
              <w:ind w:firstLine="0"/>
              <w:rPr>
                <w:rFonts w:hint="eastAsia" w:asciiTheme="minorEastAsia" w:hAnsiTheme="minorEastAsia" w:eastAsiaTheme="minorEastAsia" w:cstheme="minorEastAsia"/>
                <w:sz w:val="21"/>
                <w:szCs w:val="21"/>
                <w:lang w:bidi="ar"/>
              </w:rPr>
            </w:pPr>
          </w:p>
        </w:tc>
      </w:tr>
      <w:tr w14:paraId="6ACA8B13">
        <w:tblPrEx>
          <w:tblCellMar>
            <w:top w:w="0" w:type="dxa"/>
            <w:left w:w="108" w:type="dxa"/>
            <w:bottom w:w="0" w:type="dxa"/>
            <w:right w:w="108" w:type="dxa"/>
          </w:tblCellMar>
        </w:tblPrEx>
        <w:trPr>
          <w:trHeight w:val="413" w:hRule="atLeast"/>
          <w:jc w:val="center"/>
        </w:trPr>
        <w:tc>
          <w:tcPr>
            <w:tcW w:w="3925" w:type="pct"/>
            <w:gridSpan w:val="3"/>
            <w:tcBorders>
              <w:top w:val="single" w:color="000000" w:sz="4" w:space="0"/>
              <w:left w:val="single" w:color="000000" w:sz="4" w:space="0"/>
              <w:bottom w:val="single" w:color="000000" w:sz="4" w:space="0"/>
              <w:right w:val="single" w:color="000000" w:sz="4" w:space="0"/>
            </w:tcBorders>
            <w:noWrap w:val="0"/>
            <w:vAlign w:val="center"/>
          </w:tcPr>
          <w:p w14:paraId="13AE9518">
            <w:pPr>
              <w:wordWrap/>
              <w:adjustRightInd/>
              <w:snapToGrid/>
              <w:spacing w:line="400" w:lineRule="exact"/>
              <w:ind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合计</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3AB8A1CB">
            <w:pPr>
              <w:wordWrap/>
              <w:adjustRightInd/>
              <w:snapToGrid/>
              <w:spacing w:line="400" w:lineRule="exact"/>
              <w:ind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100</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0F58ACAB">
            <w:pPr>
              <w:wordWrap/>
              <w:adjustRightInd/>
              <w:snapToGrid/>
              <w:spacing w:line="400" w:lineRule="exact"/>
              <w:ind w:firstLine="0"/>
              <w:rPr>
                <w:rFonts w:hint="eastAsia" w:asciiTheme="minorEastAsia" w:hAnsiTheme="minorEastAsia" w:eastAsiaTheme="minorEastAsia" w:cstheme="minorEastAsia"/>
                <w:sz w:val="21"/>
                <w:szCs w:val="21"/>
                <w:lang w:bidi="ar"/>
              </w:rPr>
            </w:pPr>
          </w:p>
        </w:tc>
      </w:tr>
    </w:tbl>
    <w:p w14:paraId="71D1D81E">
      <w:pPr>
        <w:tabs>
          <w:tab w:val="left" w:pos="8080"/>
        </w:tabs>
        <w:snapToGrid w:val="0"/>
        <w:spacing w:line="800" w:lineRule="exact"/>
        <w:jc w:val="center"/>
        <w:outlineLvl w:val="0"/>
        <w:rPr>
          <w:rFonts w:hint="eastAsia" w:ascii="宋体" w:hAnsi="宋体" w:cs="宋体"/>
          <w:b/>
          <w:bCs/>
          <w:sz w:val="30"/>
          <w:szCs w:val="30"/>
        </w:rPr>
      </w:pPr>
    </w:p>
    <w:p w14:paraId="7A2357DA">
      <w:pPr>
        <w:rPr>
          <w:rFonts w:hint="default" w:cs="方正仿宋_GBK"/>
          <w:sz w:val="21"/>
          <w:szCs w:val="21"/>
          <w:u w:val="single"/>
          <w:lang w:val="en-US" w:eastAsia="zh-CN"/>
        </w:rPr>
      </w:pPr>
    </w:p>
    <w:p w14:paraId="4107FBA3">
      <w:pPr>
        <w:spacing w:line="440" w:lineRule="exact"/>
        <w:rPr>
          <w:rFonts w:hint="eastAsia" w:ascii="宋体" w:hAnsi="宋体" w:cs="宋体"/>
          <w:szCs w:val="21"/>
        </w:rPr>
      </w:pPr>
      <w:r>
        <w:rPr>
          <w:rFonts w:hint="eastAsia" w:ascii="宋体" w:hAnsi="宋体" w:cs="宋体"/>
          <w:color w:val="000000"/>
          <w:szCs w:val="21"/>
        </w:rPr>
        <w:t xml:space="preserve">       </w:t>
      </w:r>
      <w:r>
        <w:rPr>
          <w:rFonts w:hint="eastAsia" w:ascii="宋体" w:hAnsi="宋体" w:cs="宋体"/>
          <w:szCs w:val="21"/>
        </w:rPr>
        <w:t xml:space="preserve">                                                                                </w:t>
      </w:r>
    </w:p>
    <w:p w14:paraId="23325999">
      <w:pPr>
        <w:spacing w:line="440" w:lineRule="exact"/>
        <w:rPr>
          <w:rFonts w:hint="eastAsia" w:ascii="宋体" w:hAnsi="宋体" w:cs="宋体"/>
          <w:b/>
          <w:bCs/>
          <w:kern w:val="0"/>
          <w:sz w:val="30"/>
          <w:szCs w:val="30"/>
        </w:rPr>
      </w:pPr>
    </w:p>
    <w:bookmarkEnd w:id="10"/>
    <w:p w14:paraId="7E8FF973">
      <w:pPr>
        <w:pStyle w:val="9"/>
        <w:rPr>
          <w:b/>
          <w:bCs/>
          <w:kern w:val="0"/>
          <w:sz w:val="30"/>
          <w:szCs w:val="30"/>
        </w:rPr>
      </w:pPr>
    </w:p>
    <w:p w14:paraId="76919199">
      <w:pPr>
        <w:widowControl/>
        <w:snapToGrid w:val="0"/>
        <w:spacing w:line="480" w:lineRule="auto"/>
        <w:ind w:right="-153"/>
        <w:jc w:val="center"/>
        <w:rPr>
          <w:b/>
          <w:bCs/>
          <w:kern w:val="0"/>
          <w:sz w:val="30"/>
          <w:szCs w:val="30"/>
        </w:rPr>
      </w:pPr>
    </w:p>
    <w:p w14:paraId="70548994">
      <w:pPr>
        <w:pStyle w:val="8"/>
        <w:rPr>
          <w:b/>
          <w:bCs/>
          <w:kern w:val="0"/>
          <w:sz w:val="30"/>
          <w:szCs w:val="30"/>
        </w:rPr>
      </w:pPr>
    </w:p>
    <w:p w14:paraId="1B4479F8">
      <w:pPr>
        <w:pStyle w:val="8"/>
        <w:rPr>
          <w:b/>
          <w:bCs/>
          <w:kern w:val="0"/>
          <w:sz w:val="30"/>
          <w:szCs w:val="30"/>
        </w:rPr>
      </w:pPr>
    </w:p>
    <w:p w14:paraId="6C462E36">
      <w:pPr>
        <w:pStyle w:val="8"/>
        <w:rPr>
          <w:b/>
          <w:bCs/>
          <w:kern w:val="0"/>
          <w:sz w:val="30"/>
          <w:szCs w:val="30"/>
        </w:rPr>
      </w:pPr>
    </w:p>
    <w:p w14:paraId="5B3BD9BF">
      <w:pPr>
        <w:pStyle w:val="8"/>
        <w:rPr>
          <w:b/>
          <w:bCs/>
          <w:kern w:val="0"/>
          <w:sz w:val="30"/>
          <w:szCs w:val="30"/>
        </w:rPr>
      </w:pPr>
    </w:p>
    <w:p w14:paraId="14C4F901">
      <w:pPr>
        <w:pStyle w:val="8"/>
        <w:rPr>
          <w:b/>
          <w:bCs/>
          <w:kern w:val="0"/>
          <w:sz w:val="30"/>
          <w:szCs w:val="30"/>
        </w:rPr>
      </w:pPr>
    </w:p>
    <w:p w14:paraId="48C35602">
      <w:pPr>
        <w:pStyle w:val="8"/>
        <w:rPr>
          <w:b/>
          <w:bCs/>
          <w:kern w:val="0"/>
          <w:sz w:val="30"/>
          <w:szCs w:val="30"/>
        </w:rPr>
      </w:pPr>
    </w:p>
    <w:p w14:paraId="697B413B">
      <w:pPr>
        <w:pStyle w:val="8"/>
        <w:rPr>
          <w:b/>
          <w:bCs/>
          <w:kern w:val="0"/>
          <w:sz w:val="30"/>
          <w:szCs w:val="30"/>
        </w:rPr>
      </w:pPr>
    </w:p>
    <w:p w14:paraId="12CC38E6">
      <w:pPr>
        <w:widowControl/>
        <w:snapToGrid w:val="0"/>
        <w:spacing w:line="480" w:lineRule="auto"/>
        <w:ind w:right="-153"/>
        <w:jc w:val="center"/>
        <w:rPr>
          <w:kern w:val="0"/>
          <w:szCs w:val="21"/>
        </w:rPr>
      </w:pPr>
      <w:r>
        <w:rPr>
          <w:b/>
          <w:bCs/>
          <w:kern w:val="0"/>
          <w:sz w:val="30"/>
          <w:szCs w:val="30"/>
        </w:rPr>
        <w:t>附件</w:t>
      </w:r>
      <w:r>
        <w:rPr>
          <w:b/>
          <w:bCs/>
          <w:kern w:val="0"/>
          <w:sz w:val="30"/>
          <w:szCs w:val="30"/>
          <w:lang w:val="zh-CN"/>
        </w:rPr>
        <w:t>（格式）</w:t>
      </w:r>
    </w:p>
    <w:p w14:paraId="43F4900E">
      <w:pPr>
        <w:pStyle w:val="64"/>
        <w:spacing w:line="360" w:lineRule="exact"/>
        <w:rPr>
          <w:rFonts w:ascii="Times New Roman" w:hAnsi="Times New Roman"/>
          <w:b/>
          <w:color w:val="000000"/>
          <w:sz w:val="32"/>
        </w:rPr>
      </w:pPr>
      <w:bookmarkStart w:id="12" w:name="_Toc331056449"/>
      <w:bookmarkStart w:id="13" w:name="_Toc322436237"/>
      <w:bookmarkStart w:id="14" w:name="_Toc322435832"/>
      <w:bookmarkStart w:id="15" w:name="_Toc322436002"/>
      <w:bookmarkStart w:id="16" w:name="_Toc331061670"/>
      <w:bookmarkStart w:id="17" w:name="_Toc322436057"/>
      <w:bookmarkStart w:id="18" w:name="_Toc330998561"/>
      <w:r>
        <w:rPr>
          <w:rFonts w:ascii="Times New Roman" w:hAnsi="Times New Roman"/>
          <w:b/>
          <w:color w:val="000000"/>
          <w:sz w:val="28"/>
          <w:szCs w:val="28"/>
        </w:rPr>
        <w:t>附件1、投标函</w:t>
      </w:r>
      <w:r>
        <w:rPr>
          <w:rFonts w:ascii="Times New Roman" w:hAnsi="Times New Roman"/>
          <w:b/>
          <w:color w:val="000000"/>
          <w:sz w:val="32"/>
        </w:rPr>
        <w:t xml:space="preserve"> </w:t>
      </w:r>
    </w:p>
    <w:p w14:paraId="6DE1326F">
      <w:pPr>
        <w:pStyle w:val="19"/>
      </w:pPr>
    </w:p>
    <w:p w14:paraId="5A625818">
      <w:pPr>
        <w:pStyle w:val="64"/>
        <w:spacing w:line="360" w:lineRule="exact"/>
        <w:jc w:val="center"/>
        <w:rPr>
          <w:rFonts w:ascii="Times New Roman" w:hAnsi="Times New Roman"/>
          <w:b/>
          <w:color w:val="000000"/>
          <w:sz w:val="32"/>
        </w:rPr>
      </w:pPr>
      <w:r>
        <w:rPr>
          <w:rFonts w:ascii="Times New Roman" w:hAnsi="Times New Roman"/>
          <w:b/>
          <w:color w:val="000000"/>
          <w:sz w:val="32"/>
        </w:rPr>
        <w:t>投  标  函</w:t>
      </w:r>
    </w:p>
    <w:p w14:paraId="3039FDC7">
      <w:pPr>
        <w:adjustRightInd w:val="0"/>
        <w:snapToGrid w:val="0"/>
        <w:spacing w:line="800" w:lineRule="exact"/>
        <w:rPr>
          <w:color w:val="000000"/>
          <w:szCs w:val="21"/>
        </w:rPr>
      </w:pPr>
      <w:r>
        <w:rPr>
          <w:rFonts w:hint="eastAsia" w:ascii="宋体" w:hAnsi="宋体" w:cs="宋体"/>
          <w:color w:val="000000"/>
          <w:szCs w:val="21"/>
          <w:u w:val="single"/>
        </w:rPr>
        <w:t>江苏中吴常高新环保产业有限公司：</w:t>
      </w:r>
    </w:p>
    <w:p w14:paraId="2DF6472F">
      <w:pPr>
        <w:pStyle w:val="64"/>
        <w:spacing w:line="400" w:lineRule="exact"/>
        <w:rPr>
          <w:rFonts w:ascii="Times New Roman" w:hAnsi="Times New Roman"/>
          <w:color w:val="000000"/>
          <w:sz w:val="21"/>
          <w:szCs w:val="21"/>
        </w:rPr>
      </w:pPr>
      <w:r>
        <w:rPr>
          <w:rFonts w:ascii="Times New Roman" w:hAnsi="Times New Roman"/>
          <w:color w:val="000000"/>
          <w:sz w:val="21"/>
          <w:szCs w:val="21"/>
        </w:rPr>
        <w:t xml:space="preserve"> 我们收到贵公司 </w:t>
      </w:r>
      <w:r>
        <w:rPr>
          <w:rFonts w:ascii="Times New Roman" w:hAnsi="Times New Roman"/>
          <w:color w:val="000000"/>
          <w:sz w:val="21"/>
          <w:szCs w:val="21"/>
          <w:u w:val="single"/>
        </w:rPr>
        <w:t xml:space="preserve">             </w:t>
      </w:r>
      <w:r>
        <w:rPr>
          <w:rFonts w:ascii="Times New Roman" w:hAnsi="Times New Roman"/>
          <w:color w:val="000000"/>
          <w:sz w:val="21"/>
          <w:szCs w:val="21"/>
        </w:rPr>
        <w:t>号招标文件，经仔细阅读和研究，我们决定参加本项目的招标活动并投标。为此，我方郑重声明以下诸点，并负法律责任。</w:t>
      </w:r>
    </w:p>
    <w:p w14:paraId="6FDAEB19">
      <w:pPr>
        <w:pStyle w:val="64"/>
        <w:spacing w:line="400" w:lineRule="exact"/>
        <w:ind w:firstLine="420" w:firstLineChars="200"/>
        <w:rPr>
          <w:rFonts w:ascii="Times New Roman" w:hAnsi="Times New Roman"/>
          <w:color w:val="000000"/>
          <w:sz w:val="21"/>
          <w:szCs w:val="21"/>
        </w:rPr>
      </w:pPr>
      <w:r>
        <w:rPr>
          <w:rFonts w:ascii="Times New Roman" w:hAnsi="Times New Roman"/>
          <w:color w:val="000000"/>
          <w:sz w:val="21"/>
          <w:szCs w:val="21"/>
        </w:rPr>
        <w:t>1.我们愿意按照招标文件的一切要求，提供完成该项目的全部内容，</w:t>
      </w:r>
      <w:r>
        <w:rPr>
          <w:rFonts w:ascii="Times New Roman" w:hAnsi="Times New Roman"/>
          <w:sz w:val="21"/>
          <w:szCs w:val="21"/>
        </w:rPr>
        <w:t>我们的报价包括货物、制造、加工、运输、卸货至现场基础上、人工、机械、保险、劳保、各种税费以及质保期间的一切费用</w:t>
      </w:r>
      <w:r>
        <w:rPr>
          <w:rFonts w:ascii="Times New Roman" w:hAnsi="Times New Roman"/>
          <w:color w:val="000000"/>
          <w:sz w:val="21"/>
          <w:szCs w:val="21"/>
        </w:rPr>
        <w:t>。</w:t>
      </w:r>
    </w:p>
    <w:p w14:paraId="594AC1F8">
      <w:pPr>
        <w:pStyle w:val="64"/>
        <w:spacing w:line="400" w:lineRule="exact"/>
        <w:ind w:firstLine="420" w:firstLineChars="200"/>
        <w:rPr>
          <w:rFonts w:ascii="Times New Roman" w:hAnsi="Times New Roman"/>
          <w:color w:val="000000"/>
          <w:sz w:val="21"/>
          <w:szCs w:val="21"/>
        </w:rPr>
      </w:pPr>
      <w:r>
        <w:rPr>
          <w:rFonts w:ascii="Times New Roman" w:hAnsi="Times New Roman"/>
          <w:color w:val="000000"/>
          <w:sz w:val="21"/>
          <w:szCs w:val="21"/>
        </w:rPr>
        <w:t>2.如果我们的投标文件被接受，我们将严格履行招标文件中规定的每一项要求，按期、按质、按量履行合同的义务。</w:t>
      </w:r>
    </w:p>
    <w:p w14:paraId="42B628DB">
      <w:pPr>
        <w:pStyle w:val="64"/>
        <w:spacing w:line="400" w:lineRule="exact"/>
        <w:ind w:firstLine="420" w:firstLineChars="200"/>
        <w:rPr>
          <w:rFonts w:ascii="Times New Roman" w:hAnsi="Times New Roman"/>
          <w:color w:val="000000"/>
          <w:sz w:val="21"/>
          <w:szCs w:val="21"/>
        </w:rPr>
      </w:pPr>
      <w:r>
        <w:rPr>
          <w:rFonts w:ascii="Times New Roman" w:hAnsi="Times New Roman"/>
          <w:color w:val="000000"/>
          <w:sz w:val="21"/>
          <w:szCs w:val="21"/>
        </w:rPr>
        <w:t>3.我们已详细审查全部招标文件，包括补充文件(如果有的话)。我们完全理解并同意招标文件的所有规定，并放弃对这方面有不明及误解的权利。</w:t>
      </w:r>
    </w:p>
    <w:p w14:paraId="27D73489">
      <w:pPr>
        <w:pStyle w:val="64"/>
        <w:spacing w:line="400" w:lineRule="exact"/>
        <w:rPr>
          <w:rFonts w:ascii="Times New Roman" w:hAnsi="Times New Roman"/>
          <w:color w:val="000000"/>
          <w:sz w:val="21"/>
          <w:szCs w:val="21"/>
        </w:rPr>
      </w:pPr>
      <w:r>
        <w:rPr>
          <w:rFonts w:ascii="Times New Roman" w:hAnsi="Times New Roman"/>
          <w:color w:val="000000"/>
          <w:sz w:val="21"/>
          <w:szCs w:val="21"/>
        </w:rPr>
        <w:t xml:space="preserve">    4.我们同意按招标文件中的规定，本投标文件的有效期限为投标开始后</w:t>
      </w:r>
      <w:r>
        <w:rPr>
          <w:rFonts w:ascii="Times New Roman" w:hAnsi="Times New Roman"/>
          <w:color w:val="000000"/>
          <w:sz w:val="21"/>
          <w:szCs w:val="21"/>
          <w:u w:val="single"/>
        </w:rPr>
        <w:t>120</w:t>
      </w:r>
      <w:r>
        <w:rPr>
          <w:rFonts w:ascii="Times New Roman" w:hAnsi="Times New Roman"/>
          <w:color w:val="000000"/>
          <w:sz w:val="21"/>
          <w:szCs w:val="21"/>
        </w:rPr>
        <w:t>天。</w:t>
      </w:r>
    </w:p>
    <w:p w14:paraId="5816C71F">
      <w:pPr>
        <w:pStyle w:val="64"/>
        <w:spacing w:line="400" w:lineRule="exact"/>
        <w:rPr>
          <w:rFonts w:ascii="Times New Roman" w:hAnsi="Times New Roman"/>
          <w:color w:val="000000"/>
          <w:sz w:val="21"/>
          <w:szCs w:val="21"/>
        </w:rPr>
      </w:pPr>
      <w:r>
        <w:rPr>
          <w:rFonts w:ascii="Times New Roman" w:hAnsi="Times New Roman"/>
          <w:color w:val="000000"/>
          <w:sz w:val="21"/>
          <w:szCs w:val="21"/>
        </w:rPr>
        <w:t xml:space="preserve">    5.我们愿意提供代理机构在招标文件中要求的所有资料。</w:t>
      </w:r>
    </w:p>
    <w:p w14:paraId="5D665E8E">
      <w:pPr>
        <w:pStyle w:val="64"/>
        <w:spacing w:line="400" w:lineRule="exact"/>
        <w:rPr>
          <w:rFonts w:ascii="Times New Roman" w:hAnsi="Times New Roman"/>
          <w:color w:val="000000"/>
          <w:sz w:val="21"/>
          <w:szCs w:val="21"/>
        </w:rPr>
      </w:pPr>
      <w:r>
        <w:rPr>
          <w:rFonts w:ascii="Times New Roman" w:hAnsi="Times New Roman"/>
          <w:color w:val="000000"/>
          <w:sz w:val="21"/>
          <w:szCs w:val="21"/>
        </w:rPr>
        <w:t xml:space="preserve">    6.我们认为你们有权决定</w:t>
      </w:r>
      <w:r>
        <w:rPr>
          <w:rFonts w:hint="eastAsia" w:ascii="Times New Roman" w:hAnsi="Times New Roman"/>
          <w:color w:val="000000"/>
          <w:sz w:val="21"/>
          <w:szCs w:val="21"/>
        </w:rPr>
        <w:t>中标（成交）单位</w:t>
      </w:r>
      <w:r>
        <w:rPr>
          <w:rFonts w:ascii="Times New Roman" w:hAnsi="Times New Roman"/>
          <w:color w:val="000000"/>
          <w:sz w:val="21"/>
          <w:szCs w:val="21"/>
        </w:rPr>
        <w:t>，还认为你们有权接受或拒绝所有的</w:t>
      </w:r>
      <w:r>
        <w:rPr>
          <w:rFonts w:hint="eastAsia" w:ascii="Times New Roman" w:hAnsi="Times New Roman"/>
          <w:color w:val="000000"/>
          <w:sz w:val="21"/>
          <w:szCs w:val="21"/>
        </w:rPr>
        <w:t>供应商</w:t>
      </w:r>
      <w:r>
        <w:rPr>
          <w:rFonts w:ascii="Times New Roman" w:hAnsi="Times New Roman"/>
          <w:color w:val="000000"/>
          <w:sz w:val="21"/>
          <w:szCs w:val="21"/>
        </w:rPr>
        <w:t>。</w:t>
      </w:r>
    </w:p>
    <w:p w14:paraId="62A5A779">
      <w:pPr>
        <w:pStyle w:val="64"/>
        <w:spacing w:line="400" w:lineRule="exact"/>
        <w:rPr>
          <w:rFonts w:ascii="Times New Roman" w:hAnsi="Times New Roman"/>
          <w:color w:val="000000"/>
          <w:sz w:val="21"/>
          <w:szCs w:val="21"/>
        </w:rPr>
      </w:pPr>
      <w:r>
        <w:rPr>
          <w:rFonts w:ascii="Times New Roman" w:hAnsi="Times New Roman"/>
          <w:color w:val="000000"/>
          <w:sz w:val="21"/>
          <w:szCs w:val="21"/>
        </w:rPr>
        <w:t xml:space="preserve">    7.我们愿意遵守招标标文件中所列的收费标准。</w:t>
      </w:r>
    </w:p>
    <w:p w14:paraId="314BDB70">
      <w:pPr>
        <w:pStyle w:val="64"/>
        <w:spacing w:line="400" w:lineRule="exact"/>
        <w:rPr>
          <w:rFonts w:ascii="Times New Roman" w:hAnsi="Times New Roman"/>
          <w:color w:val="000000"/>
          <w:sz w:val="21"/>
          <w:szCs w:val="21"/>
        </w:rPr>
      </w:pPr>
      <w:r>
        <w:rPr>
          <w:rFonts w:ascii="Times New Roman" w:hAnsi="Times New Roman"/>
          <w:color w:val="000000"/>
          <w:sz w:val="21"/>
          <w:szCs w:val="21"/>
        </w:rPr>
        <w:t xml:space="preserve">    8.我们承诺该投标文件在投标开始后的全过程中保持有效，不作任何更改和变动。</w:t>
      </w:r>
    </w:p>
    <w:p w14:paraId="533B7CE9">
      <w:pPr>
        <w:pStyle w:val="64"/>
        <w:spacing w:line="400" w:lineRule="exact"/>
        <w:ind w:firstLine="480"/>
        <w:rPr>
          <w:rFonts w:ascii="Times New Roman" w:hAnsi="Times New Roman"/>
          <w:color w:val="000000"/>
          <w:sz w:val="21"/>
          <w:szCs w:val="21"/>
        </w:rPr>
      </w:pPr>
      <w:r>
        <w:rPr>
          <w:rFonts w:ascii="Times New Roman" w:hAnsi="Times New Roman"/>
          <w:color w:val="000000"/>
          <w:sz w:val="21"/>
          <w:szCs w:val="21"/>
        </w:rPr>
        <w:t>9.我们愿意按招标文件的规定交纳投标保证金，并同意</w:t>
      </w:r>
      <w:r>
        <w:rPr>
          <w:rFonts w:hint="eastAsia" w:ascii="Times New Roman" w:hAnsi="Times New Roman"/>
          <w:color w:val="000000"/>
          <w:sz w:val="21"/>
          <w:szCs w:val="21"/>
        </w:rPr>
        <w:t>供应商</w:t>
      </w:r>
      <w:r>
        <w:rPr>
          <w:rFonts w:ascii="Times New Roman" w:hAnsi="Times New Roman"/>
          <w:color w:val="000000"/>
          <w:sz w:val="21"/>
          <w:szCs w:val="21"/>
        </w:rPr>
        <w:t>须知中关于投标保证金不予退还的规定。</w:t>
      </w:r>
    </w:p>
    <w:p w14:paraId="525CBEE3">
      <w:pPr>
        <w:pStyle w:val="64"/>
        <w:spacing w:line="400" w:lineRule="exact"/>
        <w:ind w:firstLine="480"/>
        <w:rPr>
          <w:rFonts w:ascii="Times New Roman" w:hAnsi="Times New Roman"/>
          <w:color w:val="000000"/>
          <w:sz w:val="21"/>
          <w:szCs w:val="21"/>
        </w:rPr>
      </w:pPr>
      <w:r>
        <w:rPr>
          <w:rFonts w:ascii="Times New Roman" w:hAnsi="Times New Roman"/>
          <w:color w:val="000000"/>
          <w:sz w:val="21"/>
          <w:szCs w:val="21"/>
        </w:rPr>
        <w:t>10.如果我们中标，我们愿意在签订合同时支付履约保证金，并按招标文件的规定支付中标服务费。</w:t>
      </w:r>
    </w:p>
    <w:p w14:paraId="12C029D8">
      <w:pPr>
        <w:pStyle w:val="65"/>
        <w:spacing w:line="400" w:lineRule="exact"/>
        <w:ind w:firstLine="401" w:firstLineChars="191"/>
        <w:rPr>
          <w:rFonts w:ascii="Times New Roman" w:hAnsi="Times New Roman" w:eastAsia="宋体"/>
          <w:color w:val="000000"/>
          <w:sz w:val="21"/>
          <w:szCs w:val="21"/>
        </w:rPr>
      </w:pPr>
      <w:r>
        <w:rPr>
          <w:rFonts w:ascii="Times New Roman" w:hAnsi="Times New Roman" w:eastAsia="宋体"/>
          <w:color w:val="000000"/>
          <w:sz w:val="21"/>
          <w:szCs w:val="21"/>
        </w:rPr>
        <w:t>11. 经我单位研究招标文件后，愿按招标文件要求承包本次招标范围内的全部</w:t>
      </w:r>
      <w:r>
        <w:rPr>
          <w:rFonts w:hint="eastAsia" w:ascii="Times New Roman" w:hAnsi="Times New Roman" w:eastAsia="宋体"/>
          <w:color w:val="000000"/>
          <w:sz w:val="21"/>
          <w:szCs w:val="21"/>
        </w:rPr>
        <w:t>内容</w:t>
      </w:r>
      <w:r>
        <w:rPr>
          <w:rFonts w:ascii="Times New Roman" w:hAnsi="Times New Roman" w:eastAsia="宋体"/>
          <w:color w:val="000000"/>
          <w:sz w:val="21"/>
          <w:szCs w:val="21"/>
        </w:rPr>
        <w:t>。</w:t>
      </w:r>
    </w:p>
    <w:p w14:paraId="76005A1F">
      <w:pPr>
        <w:pStyle w:val="64"/>
        <w:spacing w:line="400" w:lineRule="exact"/>
        <w:rPr>
          <w:rFonts w:ascii="Times New Roman" w:hAnsi="Times New Roman"/>
          <w:sz w:val="21"/>
          <w:szCs w:val="21"/>
        </w:rPr>
      </w:pPr>
    </w:p>
    <w:p w14:paraId="72BC3ED3">
      <w:pPr>
        <w:pStyle w:val="64"/>
        <w:spacing w:line="400" w:lineRule="exact"/>
        <w:ind w:firstLine="405"/>
        <w:rPr>
          <w:rFonts w:ascii="Times New Roman" w:hAnsi="Times New Roman"/>
          <w:color w:val="000000"/>
          <w:sz w:val="21"/>
          <w:szCs w:val="21"/>
        </w:rPr>
      </w:pPr>
      <w:r>
        <w:rPr>
          <w:rFonts w:ascii="Times New Roman" w:hAnsi="Times New Roman"/>
          <w:color w:val="000000"/>
          <w:sz w:val="21"/>
          <w:szCs w:val="21"/>
        </w:rPr>
        <w:t>所有有关投标文件的函电，请按下列地址联系：</w:t>
      </w:r>
    </w:p>
    <w:p w14:paraId="6B491655">
      <w:pPr>
        <w:pStyle w:val="19"/>
        <w:ind w:left="0" w:firstLine="405"/>
      </w:pPr>
    </w:p>
    <w:p w14:paraId="085F5E6C">
      <w:pPr>
        <w:pStyle w:val="64"/>
        <w:spacing w:line="360" w:lineRule="exact"/>
        <w:rPr>
          <w:rFonts w:ascii="Times New Roman" w:hAnsi="Times New Roman"/>
          <w:color w:val="000000"/>
          <w:sz w:val="21"/>
          <w:szCs w:val="21"/>
        </w:rPr>
      </w:pPr>
      <w:r>
        <w:rPr>
          <w:rFonts w:hint="eastAsia" w:ascii="Times New Roman" w:hAnsi="Times New Roman"/>
          <w:color w:val="000000"/>
          <w:sz w:val="21"/>
          <w:szCs w:val="21"/>
        </w:rPr>
        <w:t>供应商</w:t>
      </w:r>
      <w:r>
        <w:rPr>
          <w:rFonts w:ascii="Times New Roman" w:hAnsi="Times New Roman"/>
          <w:color w:val="000000"/>
          <w:sz w:val="21"/>
          <w:szCs w:val="21"/>
        </w:rPr>
        <w:t>：</w:t>
      </w:r>
    </w:p>
    <w:p w14:paraId="2FCF20A8">
      <w:pPr>
        <w:pStyle w:val="64"/>
        <w:spacing w:line="360" w:lineRule="exact"/>
        <w:rPr>
          <w:rFonts w:ascii="Times New Roman" w:hAnsi="Times New Roman"/>
          <w:color w:val="000000"/>
          <w:sz w:val="21"/>
          <w:szCs w:val="21"/>
        </w:rPr>
      </w:pPr>
      <w:r>
        <w:rPr>
          <w:rFonts w:ascii="Times New Roman" w:hAnsi="Times New Roman"/>
          <w:color w:val="000000"/>
          <w:sz w:val="21"/>
          <w:szCs w:val="21"/>
        </w:rPr>
        <w:t>联系人：</w:t>
      </w:r>
    </w:p>
    <w:p w14:paraId="1465AE65">
      <w:pPr>
        <w:pStyle w:val="64"/>
        <w:spacing w:line="360" w:lineRule="exact"/>
        <w:rPr>
          <w:rFonts w:ascii="Times New Roman" w:hAnsi="Times New Roman"/>
          <w:color w:val="000000"/>
          <w:sz w:val="21"/>
          <w:szCs w:val="21"/>
        </w:rPr>
      </w:pPr>
      <w:r>
        <w:rPr>
          <w:rFonts w:ascii="Times New Roman" w:hAnsi="Times New Roman"/>
          <w:color w:val="000000"/>
          <w:sz w:val="21"/>
          <w:szCs w:val="21"/>
        </w:rPr>
        <w:t>地址：                                      邮政编码：</w:t>
      </w:r>
    </w:p>
    <w:p w14:paraId="1ABCCFD4">
      <w:pPr>
        <w:pStyle w:val="64"/>
        <w:spacing w:line="360" w:lineRule="exact"/>
        <w:rPr>
          <w:rFonts w:ascii="Times New Roman" w:hAnsi="Times New Roman"/>
          <w:color w:val="000000"/>
          <w:sz w:val="21"/>
          <w:szCs w:val="21"/>
        </w:rPr>
      </w:pPr>
      <w:r>
        <w:rPr>
          <w:rFonts w:ascii="Times New Roman" w:hAnsi="Times New Roman"/>
          <w:color w:val="000000"/>
          <w:sz w:val="21"/>
          <w:szCs w:val="21"/>
        </w:rPr>
        <w:t>联系电话：                                  传真：</w:t>
      </w:r>
    </w:p>
    <w:p w14:paraId="34C15B3E">
      <w:pPr>
        <w:pStyle w:val="64"/>
        <w:spacing w:line="360" w:lineRule="exact"/>
        <w:ind w:left="3400" w:firstLine="525" w:firstLineChars="250"/>
        <w:rPr>
          <w:rFonts w:ascii="Times New Roman" w:hAnsi="Times New Roman"/>
          <w:color w:val="000000"/>
          <w:sz w:val="21"/>
          <w:szCs w:val="21"/>
        </w:rPr>
      </w:pPr>
      <w:r>
        <w:rPr>
          <w:rFonts w:hint="eastAsia" w:ascii="Times New Roman" w:hAnsi="Times New Roman"/>
          <w:color w:val="000000"/>
          <w:sz w:val="21"/>
          <w:szCs w:val="21"/>
        </w:rPr>
        <w:t>供应商</w:t>
      </w:r>
      <w:r>
        <w:rPr>
          <w:rFonts w:ascii="Times New Roman" w:hAnsi="Times New Roman"/>
          <w:color w:val="000000"/>
          <w:sz w:val="21"/>
          <w:szCs w:val="21"/>
        </w:rPr>
        <w:t>（盖章）：</w:t>
      </w:r>
    </w:p>
    <w:p w14:paraId="0C254A4D">
      <w:pPr>
        <w:pStyle w:val="64"/>
        <w:spacing w:line="360" w:lineRule="exact"/>
        <w:ind w:left="3825" w:firstLine="105" w:firstLineChars="50"/>
        <w:rPr>
          <w:rFonts w:ascii="Times New Roman" w:hAnsi="Times New Roman"/>
          <w:color w:val="000000"/>
          <w:sz w:val="21"/>
          <w:szCs w:val="21"/>
        </w:rPr>
      </w:pPr>
      <w:r>
        <w:rPr>
          <w:rFonts w:ascii="Times New Roman" w:hAnsi="Times New Roman"/>
          <w:color w:val="000000"/>
          <w:sz w:val="21"/>
          <w:szCs w:val="21"/>
        </w:rPr>
        <w:t>法定代表人或代理人（签字或盖章）：</w:t>
      </w:r>
    </w:p>
    <w:p w14:paraId="1BC60278">
      <w:pPr>
        <w:pStyle w:val="64"/>
        <w:spacing w:line="360" w:lineRule="exact"/>
        <w:ind w:firstLine="4620"/>
        <w:rPr>
          <w:rFonts w:ascii="Times New Roman" w:hAnsi="Times New Roman"/>
          <w:color w:val="000000"/>
          <w:sz w:val="21"/>
          <w:szCs w:val="21"/>
        </w:rPr>
      </w:pPr>
      <w:r>
        <w:rPr>
          <w:rFonts w:ascii="Times New Roman" w:hAnsi="Times New Roman"/>
          <w:color w:val="000000"/>
          <w:sz w:val="21"/>
          <w:szCs w:val="21"/>
        </w:rPr>
        <w:t>年     月     日</w:t>
      </w:r>
    </w:p>
    <w:p w14:paraId="487B809C">
      <w:pPr>
        <w:pStyle w:val="19"/>
      </w:pPr>
    </w:p>
    <w:bookmarkEnd w:id="12"/>
    <w:bookmarkEnd w:id="13"/>
    <w:bookmarkEnd w:id="14"/>
    <w:bookmarkEnd w:id="15"/>
    <w:bookmarkEnd w:id="16"/>
    <w:bookmarkEnd w:id="17"/>
    <w:bookmarkEnd w:id="18"/>
    <w:p w14:paraId="11B81ABF">
      <w:pPr>
        <w:pStyle w:val="62"/>
        <w:spacing w:line="360" w:lineRule="exact"/>
        <w:outlineLvl w:val="1"/>
        <w:rPr>
          <w:rFonts w:ascii="Times New Roman" w:hAnsi="Times New Roman"/>
          <w:b/>
          <w:sz w:val="28"/>
          <w:szCs w:val="28"/>
        </w:rPr>
      </w:pPr>
      <w:bookmarkStart w:id="19" w:name="_Toc322436003"/>
      <w:bookmarkStart w:id="20" w:name="_Toc331056450"/>
      <w:bookmarkStart w:id="21" w:name="_Toc322436058"/>
      <w:bookmarkStart w:id="22" w:name="_Toc331061671"/>
      <w:bookmarkStart w:id="23" w:name="_Toc330998562"/>
      <w:bookmarkStart w:id="24" w:name="_Toc322435833"/>
      <w:bookmarkStart w:id="25" w:name="_Toc322436238"/>
      <w:r>
        <w:rPr>
          <w:rFonts w:ascii="Times New Roman" w:hAnsi="Times New Roman"/>
          <w:b/>
          <w:sz w:val="28"/>
          <w:szCs w:val="28"/>
        </w:rPr>
        <w:t>附件</w:t>
      </w:r>
      <w:r>
        <w:rPr>
          <w:rFonts w:hint="eastAsia" w:ascii="Times New Roman" w:hAnsi="Times New Roman"/>
          <w:b/>
          <w:sz w:val="28"/>
          <w:szCs w:val="28"/>
        </w:rPr>
        <w:t>2</w:t>
      </w:r>
      <w:r>
        <w:rPr>
          <w:rFonts w:ascii="Times New Roman" w:hAnsi="Times New Roman"/>
          <w:sz w:val="28"/>
          <w:szCs w:val="28"/>
        </w:rPr>
        <w:t>：</w:t>
      </w:r>
      <w:bookmarkEnd w:id="19"/>
      <w:bookmarkEnd w:id="20"/>
      <w:bookmarkEnd w:id="21"/>
      <w:bookmarkEnd w:id="22"/>
      <w:bookmarkEnd w:id="23"/>
      <w:bookmarkEnd w:id="24"/>
      <w:bookmarkEnd w:id="25"/>
      <w:r>
        <w:rPr>
          <w:rFonts w:ascii="Times New Roman" w:hAnsi="Times New Roman"/>
          <w:b/>
          <w:sz w:val="28"/>
          <w:szCs w:val="28"/>
        </w:rPr>
        <w:t>法定代表人资格证明书及授权委托书</w:t>
      </w:r>
    </w:p>
    <w:p w14:paraId="63A46B97"/>
    <w:p w14:paraId="7DFABF59">
      <w:pPr>
        <w:spacing w:line="360" w:lineRule="auto"/>
        <w:jc w:val="center"/>
        <w:rPr>
          <w:rFonts w:ascii="宋体" w:hAnsi="宋体" w:cs="宋体"/>
          <w:b/>
          <w:color w:val="000000"/>
          <w:sz w:val="30"/>
          <w:szCs w:val="30"/>
        </w:rPr>
      </w:pPr>
      <w:bookmarkStart w:id="26" w:name="_Toc18209_WPSOffice_Level1"/>
    </w:p>
    <w:p w14:paraId="2CDD732E">
      <w:pPr>
        <w:spacing w:line="360" w:lineRule="auto"/>
        <w:jc w:val="center"/>
        <w:rPr>
          <w:rFonts w:ascii="宋体" w:hAnsi="宋体" w:cs="宋体"/>
          <w:b/>
          <w:color w:val="000000"/>
          <w:sz w:val="32"/>
          <w:szCs w:val="32"/>
        </w:rPr>
      </w:pPr>
      <w:r>
        <w:rPr>
          <w:rFonts w:hint="eastAsia" w:ascii="宋体" w:hAnsi="宋体" w:cs="宋体"/>
          <w:b/>
          <w:color w:val="000000"/>
          <w:sz w:val="30"/>
          <w:szCs w:val="30"/>
        </w:rPr>
        <w:t>法定代表人资格证明书</w:t>
      </w:r>
      <w:bookmarkEnd w:id="26"/>
    </w:p>
    <w:tbl>
      <w:tblPr>
        <w:tblStyle w:val="26"/>
        <w:tblpPr w:leftFromText="180" w:rightFromText="180" w:vertAnchor="text" w:horzAnchor="page" w:tblpX="1801" w:tblpY="3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2229"/>
        <w:gridCol w:w="1189"/>
        <w:gridCol w:w="1232"/>
        <w:gridCol w:w="847"/>
        <w:gridCol w:w="1406"/>
      </w:tblGrid>
      <w:tr w14:paraId="384B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73" w:type="dxa"/>
            <w:vAlign w:val="center"/>
          </w:tcPr>
          <w:p w14:paraId="64E79830">
            <w:pPr>
              <w:spacing w:line="360" w:lineRule="auto"/>
              <w:jc w:val="center"/>
              <w:rPr>
                <w:rFonts w:ascii="宋体" w:hAnsi="宋体" w:cs="宋体"/>
                <w:color w:val="000000"/>
                <w:szCs w:val="21"/>
              </w:rPr>
            </w:pPr>
            <w:r>
              <w:rPr>
                <w:rFonts w:hint="eastAsia" w:ascii="宋体" w:hAnsi="宋体" w:cs="宋体"/>
                <w:color w:val="000000"/>
                <w:szCs w:val="21"/>
              </w:rPr>
              <w:t>单位名称</w:t>
            </w:r>
          </w:p>
        </w:tc>
        <w:tc>
          <w:tcPr>
            <w:tcW w:w="6903" w:type="dxa"/>
            <w:gridSpan w:val="5"/>
            <w:vAlign w:val="center"/>
          </w:tcPr>
          <w:p w14:paraId="2F68C746">
            <w:pPr>
              <w:spacing w:line="360" w:lineRule="auto"/>
              <w:jc w:val="center"/>
              <w:rPr>
                <w:rFonts w:ascii="宋体" w:hAnsi="宋体" w:cs="宋体"/>
                <w:color w:val="000000"/>
                <w:szCs w:val="21"/>
              </w:rPr>
            </w:pPr>
          </w:p>
        </w:tc>
      </w:tr>
      <w:tr w14:paraId="73D5E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73" w:type="dxa"/>
            <w:vAlign w:val="center"/>
          </w:tcPr>
          <w:p w14:paraId="3699C1FB">
            <w:pPr>
              <w:spacing w:line="360" w:lineRule="auto"/>
              <w:jc w:val="center"/>
              <w:rPr>
                <w:rFonts w:ascii="宋体" w:hAnsi="宋体" w:cs="宋体"/>
                <w:color w:val="000000"/>
                <w:szCs w:val="21"/>
              </w:rPr>
            </w:pPr>
            <w:r>
              <w:rPr>
                <w:rFonts w:hint="eastAsia" w:ascii="宋体" w:hAnsi="宋体" w:cs="宋体"/>
                <w:color w:val="000000"/>
                <w:szCs w:val="21"/>
              </w:rPr>
              <w:t>注册地址</w:t>
            </w:r>
          </w:p>
        </w:tc>
        <w:tc>
          <w:tcPr>
            <w:tcW w:w="6903" w:type="dxa"/>
            <w:gridSpan w:val="5"/>
            <w:vAlign w:val="center"/>
          </w:tcPr>
          <w:p w14:paraId="6422F37E">
            <w:pPr>
              <w:spacing w:line="360" w:lineRule="auto"/>
              <w:jc w:val="center"/>
              <w:rPr>
                <w:rFonts w:ascii="宋体" w:hAnsi="宋体" w:cs="宋体"/>
                <w:color w:val="000000"/>
                <w:szCs w:val="21"/>
              </w:rPr>
            </w:pPr>
          </w:p>
        </w:tc>
      </w:tr>
      <w:tr w14:paraId="38EF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73" w:type="dxa"/>
            <w:vAlign w:val="center"/>
          </w:tcPr>
          <w:p w14:paraId="3985A600">
            <w:pPr>
              <w:spacing w:line="360" w:lineRule="auto"/>
              <w:jc w:val="center"/>
              <w:rPr>
                <w:rFonts w:ascii="宋体" w:hAnsi="宋体" w:cs="宋体"/>
                <w:color w:val="000000"/>
                <w:szCs w:val="21"/>
              </w:rPr>
            </w:pPr>
            <w:r>
              <w:rPr>
                <w:rFonts w:hint="eastAsia" w:ascii="宋体" w:hAnsi="宋体" w:cs="宋体"/>
                <w:color w:val="000000"/>
                <w:szCs w:val="21"/>
              </w:rPr>
              <w:t>法人姓名</w:t>
            </w:r>
          </w:p>
        </w:tc>
        <w:tc>
          <w:tcPr>
            <w:tcW w:w="2229" w:type="dxa"/>
            <w:vAlign w:val="center"/>
          </w:tcPr>
          <w:p w14:paraId="40B5FFF6">
            <w:pPr>
              <w:spacing w:line="360" w:lineRule="auto"/>
              <w:jc w:val="center"/>
              <w:rPr>
                <w:rFonts w:ascii="宋体" w:hAnsi="宋体" w:cs="宋体"/>
                <w:color w:val="000000"/>
                <w:szCs w:val="21"/>
              </w:rPr>
            </w:pPr>
          </w:p>
        </w:tc>
        <w:tc>
          <w:tcPr>
            <w:tcW w:w="1189" w:type="dxa"/>
            <w:vAlign w:val="center"/>
          </w:tcPr>
          <w:p w14:paraId="650A718A">
            <w:pPr>
              <w:spacing w:line="360" w:lineRule="auto"/>
              <w:jc w:val="center"/>
              <w:rPr>
                <w:rFonts w:ascii="宋体" w:hAnsi="宋体" w:cs="宋体"/>
                <w:color w:val="000000"/>
                <w:szCs w:val="21"/>
              </w:rPr>
            </w:pPr>
            <w:r>
              <w:rPr>
                <w:rFonts w:hint="eastAsia" w:ascii="宋体" w:hAnsi="宋体" w:cs="宋体"/>
                <w:color w:val="000000"/>
                <w:szCs w:val="21"/>
              </w:rPr>
              <w:t>性别</w:t>
            </w:r>
          </w:p>
        </w:tc>
        <w:tc>
          <w:tcPr>
            <w:tcW w:w="1232" w:type="dxa"/>
            <w:vAlign w:val="center"/>
          </w:tcPr>
          <w:p w14:paraId="21128A4B">
            <w:pPr>
              <w:spacing w:line="360" w:lineRule="auto"/>
              <w:jc w:val="center"/>
              <w:rPr>
                <w:rFonts w:ascii="宋体" w:hAnsi="宋体" w:cs="宋体"/>
                <w:color w:val="000000"/>
                <w:szCs w:val="21"/>
              </w:rPr>
            </w:pPr>
          </w:p>
        </w:tc>
        <w:tc>
          <w:tcPr>
            <w:tcW w:w="847" w:type="dxa"/>
            <w:vAlign w:val="center"/>
          </w:tcPr>
          <w:p w14:paraId="3D204E34">
            <w:pPr>
              <w:spacing w:line="360" w:lineRule="auto"/>
              <w:jc w:val="center"/>
              <w:rPr>
                <w:rFonts w:ascii="宋体" w:hAnsi="宋体" w:cs="宋体"/>
                <w:color w:val="000000"/>
                <w:szCs w:val="21"/>
              </w:rPr>
            </w:pPr>
            <w:r>
              <w:rPr>
                <w:rFonts w:hint="eastAsia" w:ascii="宋体" w:hAnsi="宋体" w:cs="宋体"/>
                <w:color w:val="000000"/>
                <w:szCs w:val="21"/>
              </w:rPr>
              <w:t>年龄</w:t>
            </w:r>
          </w:p>
        </w:tc>
        <w:tc>
          <w:tcPr>
            <w:tcW w:w="1406" w:type="dxa"/>
            <w:vAlign w:val="center"/>
          </w:tcPr>
          <w:p w14:paraId="5F0D0634">
            <w:pPr>
              <w:spacing w:line="360" w:lineRule="auto"/>
              <w:jc w:val="center"/>
              <w:rPr>
                <w:rFonts w:ascii="宋体" w:hAnsi="宋体" w:cs="宋体"/>
                <w:color w:val="000000"/>
                <w:szCs w:val="21"/>
              </w:rPr>
            </w:pPr>
          </w:p>
        </w:tc>
      </w:tr>
      <w:tr w14:paraId="25B0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exact"/>
        </w:trPr>
        <w:tc>
          <w:tcPr>
            <w:tcW w:w="8376" w:type="dxa"/>
            <w:gridSpan w:val="6"/>
            <w:vAlign w:val="center"/>
          </w:tcPr>
          <w:p w14:paraId="2A17723A">
            <w:pPr>
              <w:spacing w:line="360" w:lineRule="auto"/>
              <w:ind w:firstLine="420" w:firstLineChars="200"/>
              <w:rPr>
                <w:rFonts w:ascii="宋体" w:hAnsi="宋体" w:cs="宋体"/>
                <w:color w:val="000000"/>
                <w:szCs w:val="21"/>
              </w:rPr>
            </w:pPr>
            <w:r>
              <w:rPr>
                <w:rFonts w:hint="eastAsia" w:ascii="宋体" w:hAnsi="宋体" w:cs="宋体"/>
                <w:color w:val="000000"/>
                <w:szCs w:val="21"/>
                <w:u w:val="single"/>
              </w:rPr>
              <w:t>（法人姓名）</w:t>
            </w:r>
            <w:r>
              <w:rPr>
                <w:rFonts w:hint="eastAsia" w:ascii="宋体" w:hAnsi="宋体" w:cs="宋体"/>
                <w:color w:val="000000"/>
                <w:szCs w:val="21"/>
              </w:rPr>
              <w:t>系</w:t>
            </w:r>
            <w:r>
              <w:rPr>
                <w:rFonts w:ascii="宋体" w:hAnsi="宋体" w:cs="宋体"/>
                <w:color w:val="000000"/>
                <w:szCs w:val="21"/>
                <w:u w:val="single"/>
              </w:rPr>
              <w:t xml:space="preserve">   </w:t>
            </w:r>
            <w:r>
              <w:rPr>
                <w:rFonts w:hint="eastAsia" w:ascii="宋体" w:hAnsi="宋体" w:cs="宋体"/>
                <w:color w:val="000000"/>
                <w:szCs w:val="21"/>
                <w:u w:val="single"/>
              </w:rPr>
              <w:t>（单位名称）</w:t>
            </w:r>
            <w:r>
              <w:rPr>
                <w:rFonts w:ascii="宋体" w:hAnsi="宋体" w:cs="宋体"/>
                <w:color w:val="000000"/>
                <w:szCs w:val="21"/>
                <w:u w:val="single"/>
              </w:rPr>
              <w:t>    </w:t>
            </w:r>
            <w:r>
              <w:rPr>
                <w:rFonts w:hint="eastAsia" w:ascii="宋体" w:hAnsi="宋体" w:cs="宋体"/>
                <w:color w:val="000000"/>
                <w:szCs w:val="21"/>
              </w:rPr>
              <w:t>的法定代表人。为实施</w:t>
            </w:r>
            <w:r>
              <w:rPr>
                <w:rFonts w:hint="eastAsia" w:ascii="宋体" w:hAnsi="宋体" w:cs="宋体"/>
                <w:color w:val="000000"/>
                <w:szCs w:val="21"/>
                <w:u w:val="single"/>
              </w:rPr>
              <w:t>项目（编号：）</w:t>
            </w:r>
            <w:r>
              <w:rPr>
                <w:rFonts w:hint="eastAsia" w:ascii="宋体" w:hAnsi="宋体" w:cs="宋体"/>
                <w:color w:val="000000"/>
                <w:szCs w:val="21"/>
              </w:rPr>
              <w:t>的工作，签署本项目的响应文件、进行合同谈判、签署合同和处理与之有关的一切事务。</w:t>
            </w:r>
          </w:p>
          <w:p w14:paraId="0CCBF1F4">
            <w:pPr>
              <w:spacing w:line="360" w:lineRule="auto"/>
              <w:ind w:firstLine="420" w:firstLineChars="200"/>
              <w:rPr>
                <w:rFonts w:ascii="宋体" w:hAnsi="宋体" w:cs="宋体"/>
                <w:color w:val="000000"/>
                <w:szCs w:val="21"/>
              </w:rPr>
            </w:pPr>
            <w:r>
              <w:rPr>
                <w:rFonts w:hint="eastAsia" w:ascii="宋体" w:hAnsi="宋体" w:cs="宋体"/>
                <w:color w:val="000000"/>
                <w:szCs w:val="21"/>
              </w:rPr>
              <w:t>特此证明。</w:t>
            </w:r>
          </w:p>
        </w:tc>
      </w:tr>
    </w:tbl>
    <w:p w14:paraId="0BBB031B">
      <w:pPr>
        <w:spacing w:line="360" w:lineRule="auto"/>
        <w:rPr>
          <w:rFonts w:ascii="宋体" w:hAnsi="宋体" w:cs="宋体"/>
          <w:color w:val="000000"/>
          <w:szCs w:val="21"/>
        </w:rPr>
      </w:pPr>
    </w:p>
    <w:p w14:paraId="793ECD93">
      <w:pPr>
        <w:spacing w:line="360" w:lineRule="auto"/>
        <w:rPr>
          <w:rFonts w:ascii="宋体" w:hAnsi="宋体" w:cs="宋体"/>
          <w:color w:val="000000"/>
          <w:szCs w:val="21"/>
        </w:rPr>
      </w:pPr>
      <w:r>
        <w:rPr>
          <w:rFonts w:ascii="宋体" w:hAnsi="宋体" w:cs="宋体"/>
          <w:color w:val="000000"/>
          <w:szCs w:val="21"/>
        </w:rPr>
        <w:t>                 </w:t>
      </w:r>
      <w:r>
        <w:rPr>
          <w:rFonts w:hint="eastAsia" w:ascii="宋体" w:hAnsi="宋体" w:cs="宋体"/>
          <w:color w:val="000000"/>
          <w:szCs w:val="21"/>
        </w:rPr>
        <w:t>供应商：（公章）</w:t>
      </w:r>
    </w:p>
    <w:p w14:paraId="3BFFF586">
      <w:pPr>
        <w:spacing w:line="360" w:lineRule="auto"/>
        <w:rPr>
          <w:rFonts w:ascii="宋体" w:hAnsi="宋体" w:cs="宋体"/>
          <w:color w:val="000000"/>
          <w:szCs w:val="21"/>
        </w:rPr>
      </w:pPr>
      <w:r>
        <w:rPr>
          <w:rFonts w:ascii="宋体" w:hAnsi="宋体" w:cs="宋体"/>
          <w:color w:val="000000"/>
          <w:szCs w:val="21"/>
        </w:rPr>
        <w:t>             </w:t>
      </w:r>
      <w:r>
        <w:rPr>
          <w:rFonts w:hint="eastAsia" w:ascii="宋体" w:hAnsi="宋体" w:cs="宋体"/>
          <w:color w:val="000000"/>
          <w:szCs w:val="21"/>
        </w:rPr>
        <w:t>法定代表人签字或盖章：</w:t>
      </w:r>
    </w:p>
    <w:p w14:paraId="0497311C">
      <w:pPr>
        <w:spacing w:line="360" w:lineRule="auto"/>
        <w:ind w:firstLine="3570" w:firstLineChars="1700"/>
        <w:rPr>
          <w:rFonts w:ascii="宋体" w:hAnsi="宋体" w:cs="宋体"/>
          <w:color w:val="000000"/>
          <w:szCs w:val="21"/>
        </w:rPr>
      </w:pPr>
      <w:r>
        <w:rPr>
          <w:rFonts w:hint="eastAsia" w:ascii="宋体" w:hAnsi="宋体" w:cs="宋体"/>
          <w:color w:val="000000"/>
          <w:szCs w:val="21"/>
        </w:rPr>
        <w:t>日期：</w:t>
      </w:r>
      <w:r>
        <w:rPr>
          <w:rFonts w:ascii="宋体" w:hAnsi="宋体" w:cs="宋体"/>
          <w:color w:val="000000"/>
          <w:szCs w:val="21"/>
        </w:rPr>
        <w:t xml:space="preserve">    </w:t>
      </w:r>
      <w:r>
        <w:rPr>
          <w:rFonts w:hint="eastAsia" w:ascii="宋体" w:hAnsi="宋体" w:cs="宋体"/>
          <w:color w:val="000000"/>
          <w:szCs w:val="21"/>
        </w:rPr>
        <w:t>年</w:t>
      </w:r>
      <w:r>
        <w:rPr>
          <w:rFonts w:ascii="宋体" w:hAnsi="宋体" w:cs="宋体"/>
          <w:color w:val="000000"/>
          <w:szCs w:val="21"/>
        </w:rPr>
        <w:t xml:space="preserve">    </w:t>
      </w:r>
      <w:r>
        <w:rPr>
          <w:rFonts w:hint="eastAsia" w:ascii="宋体" w:hAnsi="宋体" w:cs="宋体"/>
          <w:color w:val="000000"/>
          <w:szCs w:val="21"/>
        </w:rPr>
        <w:t>月</w:t>
      </w:r>
      <w:r>
        <w:rPr>
          <w:rFonts w:ascii="宋体" w:hAnsi="宋体" w:cs="宋体"/>
          <w:color w:val="000000"/>
          <w:szCs w:val="21"/>
        </w:rPr>
        <w:t xml:space="preserve">    </w:t>
      </w:r>
      <w:r>
        <w:rPr>
          <w:rFonts w:hint="eastAsia" w:ascii="宋体" w:hAnsi="宋体" w:cs="宋体"/>
          <w:color w:val="000000"/>
          <w:szCs w:val="21"/>
        </w:rPr>
        <w:t>日</w:t>
      </w:r>
    </w:p>
    <w:p w14:paraId="3065E3F8">
      <w:pPr>
        <w:tabs>
          <w:tab w:val="left" w:pos="6045"/>
        </w:tabs>
        <w:snapToGrid w:val="0"/>
        <w:spacing w:line="360" w:lineRule="auto"/>
        <w:ind w:left="210" w:hanging="210" w:hangingChars="100"/>
        <w:rPr>
          <w:rFonts w:ascii="宋体" w:hAnsi="宋体" w:cs="宋体"/>
          <w:color w:val="000000"/>
          <w:szCs w:val="21"/>
        </w:rPr>
      </w:pPr>
    </w:p>
    <w:p w14:paraId="6994D1BA">
      <w:pPr>
        <w:tabs>
          <w:tab w:val="left" w:pos="6045"/>
        </w:tabs>
        <w:snapToGrid w:val="0"/>
        <w:spacing w:line="360" w:lineRule="auto"/>
        <w:ind w:left="210" w:hanging="210" w:hangingChars="100"/>
        <w:rPr>
          <w:szCs w:val="21"/>
        </w:rPr>
      </w:pPr>
    </w:p>
    <w:p w14:paraId="09FA98A0">
      <w:pPr>
        <w:snapToGrid w:val="0"/>
        <w:spacing w:line="360" w:lineRule="auto"/>
        <w:rPr>
          <w:b/>
          <w:szCs w:val="21"/>
        </w:rPr>
      </w:pPr>
      <w:r>
        <w:rPr>
          <w:szCs w:val="21"/>
        </w:rPr>
        <w:t> </w:t>
      </w:r>
    </w:p>
    <w:p w14:paraId="1DA77215">
      <w:pPr>
        <w:spacing w:line="360" w:lineRule="auto"/>
        <w:rPr>
          <w:szCs w:val="21"/>
        </w:rPr>
      </w:pPr>
      <w:r>
        <w:rPr>
          <w:szCs w:val="21"/>
        </w:rPr>
        <w:t>法定代表人身份证复印件：</w:t>
      </w:r>
    </w:p>
    <w:p w14:paraId="2CEBF799">
      <w:pPr>
        <w:spacing w:line="360" w:lineRule="auto"/>
        <w:rPr>
          <w:szCs w:val="21"/>
        </w:rPr>
      </w:pPr>
    </w:p>
    <w:p w14:paraId="5EF250FF">
      <w:pPr>
        <w:snapToGrid w:val="0"/>
        <w:spacing w:line="360" w:lineRule="auto"/>
        <w:jc w:val="center"/>
        <w:rPr>
          <w:b/>
          <w:sz w:val="24"/>
          <w:szCs w:val="28"/>
        </w:rPr>
      </w:pPr>
      <w:r>
        <w:rPr>
          <w:sz w:val="24"/>
        </w:rPr>
        <mc:AlternateContent>
          <mc:Choice Requires="wps">
            <w:drawing>
              <wp:anchor distT="0" distB="0" distL="114300" distR="114300" simplePos="0" relativeHeight="251659264" behindDoc="0" locked="0" layoutInCell="1" allowOverlap="1">
                <wp:simplePos x="0" y="0"/>
                <wp:positionH relativeFrom="column">
                  <wp:posOffset>2322830</wp:posOffset>
                </wp:positionH>
                <wp:positionV relativeFrom="paragraph">
                  <wp:posOffset>231775</wp:posOffset>
                </wp:positionV>
                <wp:extent cx="596265" cy="977265"/>
                <wp:effectExtent l="0" t="0" r="13335" b="13335"/>
                <wp:wrapNone/>
                <wp:docPr id="147" name="文本框 147"/>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a:noFill/>
                        </a:ln>
                      </wps:spPr>
                      <wps:txbx>
                        <w:txbxContent>
                          <w:p w14:paraId="3F516459">
                            <w:pPr>
                              <w:rPr>
                                <w:sz w:val="28"/>
                                <w:szCs w:val="28"/>
                              </w:rPr>
                            </w:pPr>
                          </w:p>
                        </w:txbxContent>
                      </wps:txbx>
                      <wps:bodyPr vert="eaVert" upright="1"/>
                    </wps:wsp>
                  </a:graphicData>
                </a:graphic>
              </wp:anchor>
            </w:drawing>
          </mc:Choice>
          <mc:Fallback>
            <w:pict>
              <v:shape id="_x0000_s1026" o:spid="_x0000_s1026" o:spt="202" type="#_x0000_t202" style="position:absolute;left:0pt;margin-left:182.9pt;margin-top:18.25pt;height:76.95pt;width:46.95pt;z-index:251659264;mso-width-relative:page;mso-height-relative:page;" fillcolor="#FFFFFF" filled="t" stroked="f" coordsize="21600,21600" o:gfxdata="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VQiU9gAAAAKAQAADwAAAAAAAAABACAAAAAiAAAAZHJzL2Rvd25y&#10;ZXYueG1sUEsBAhQAFAAAAAgAh07iQMDGYWb+AQAADwQAAA4AAAAAAAAAAQAgAAAAJwEAAGRycy9l&#10;Mm9Eb2MueG1sUEsFBgAAAAAGAAYAWQEAAJcFAAAAAA==&#10;">
                <v:fill type="gradient" on="t" color2="#FFFFFF" angle="90" focus="100%" focussize="0,0">
                  <o:fill type="gradientUnscaled" v:ext="backwardCompatible"/>
                </v:fill>
                <v:stroke on="f"/>
                <v:imagedata o:title=""/>
                <o:lock v:ext="edit" aspectratio="f"/>
                <v:textbox style="layout-flow:vertical-ideographic;">
                  <w:txbxContent>
                    <w:p w14:paraId="3F516459">
                      <w:pPr>
                        <w:rPr>
                          <w:sz w:val="28"/>
                          <w:szCs w:val="28"/>
                        </w:rPr>
                      </w:pPr>
                    </w:p>
                  </w:txbxContent>
                </v:textbox>
              </v:shape>
            </w:pict>
          </mc:Fallback>
        </mc:AlternateContent>
      </w:r>
      <w:r>
        <w:rPr>
          <w:b/>
          <w:sz w:val="24"/>
          <w:szCs w:val="28"/>
        </w:rPr>
        <w:drawing>
          <wp:inline distT="0" distB="0" distL="114300" distR="114300">
            <wp:extent cx="5139690" cy="1373505"/>
            <wp:effectExtent l="0" t="0" r="11430" b="13335"/>
            <wp:docPr id="148"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1" descr="图片1"/>
                    <pic:cNvPicPr>
                      <a:picLocks noChangeAspect="1"/>
                    </pic:cNvPicPr>
                  </pic:nvPicPr>
                  <pic:blipFill>
                    <a:blip r:embed="rId6"/>
                    <a:stretch>
                      <a:fillRect/>
                    </a:stretch>
                  </pic:blipFill>
                  <pic:spPr>
                    <a:xfrm>
                      <a:off x="0" y="0"/>
                      <a:ext cx="5139690" cy="1373505"/>
                    </a:xfrm>
                    <a:prstGeom prst="rect">
                      <a:avLst/>
                    </a:prstGeom>
                    <a:noFill/>
                    <a:ln>
                      <a:noFill/>
                    </a:ln>
                  </pic:spPr>
                </pic:pic>
              </a:graphicData>
            </a:graphic>
          </wp:inline>
        </w:drawing>
      </w:r>
    </w:p>
    <w:p w14:paraId="718AB3D8">
      <w:pPr>
        <w:spacing w:line="400" w:lineRule="exact"/>
        <w:rPr>
          <w:b/>
          <w:bCs/>
          <w:szCs w:val="21"/>
        </w:rPr>
      </w:pPr>
    </w:p>
    <w:p w14:paraId="01DA35F1">
      <w:pPr>
        <w:spacing w:line="400" w:lineRule="exact"/>
        <w:rPr>
          <w:b/>
          <w:bCs/>
          <w:szCs w:val="21"/>
        </w:rPr>
      </w:pPr>
      <w:r>
        <w:rPr>
          <w:b/>
          <w:bCs/>
          <w:szCs w:val="21"/>
        </w:rPr>
        <w:t>注：</w:t>
      </w:r>
    </w:p>
    <w:p w14:paraId="520C6E2F">
      <w:pPr>
        <w:spacing w:line="400" w:lineRule="exact"/>
        <w:rPr>
          <w:b/>
          <w:bCs/>
          <w:szCs w:val="21"/>
        </w:rPr>
      </w:pPr>
      <w:r>
        <w:rPr>
          <w:b/>
          <w:bCs/>
          <w:szCs w:val="21"/>
        </w:rPr>
        <w:t>1、身份证复印件信息必须清晰可辨，如因清晰度不够引起的一切后果由</w:t>
      </w:r>
      <w:r>
        <w:rPr>
          <w:rFonts w:hint="eastAsia"/>
          <w:b/>
          <w:bCs/>
          <w:szCs w:val="21"/>
        </w:rPr>
        <w:t>供应商</w:t>
      </w:r>
      <w:r>
        <w:rPr>
          <w:b/>
          <w:bCs/>
          <w:szCs w:val="21"/>
        </w:rPr>
        <w:t>自行承担。</w:t>
      </w:r>
    </w:p>
    <w:p w14:paraId="7EF4A177">
      <w:pPr>
        <w:spacing w:line="400" w:lineRule="exact"/>
        <w:rPr>
          <w:sz w:val="24"/>
        </w:rPr>
      </w:pPr>
      <w:r>
        <w:rPr>
          <w:b/>
          <w:bCs/>
          <w:szCs w:val="21"/>
        </w:rPr>
        <w:t>2、法定代表人参加开标会议时，须携带并按要求提交本人身份证原件。</w:t>
      </w:r>
    </w:p>
    <w:p w14:paraId="16E93981">
      <w:pPr>
        <w:pageBreakBefore/>
        <w:spacing w:line="360" w:lineRule="auto"/>
        <w:outlineLvl w:val="1"/>
        <w:rPr>
          <w:b/>
          <w:color w:val="000000"/>
          <w:sz w:val="28"/>
          <w:szCs w:val="28"/>
        </w:rPr>
      </w:pPr>
      <w:r>
        <w:rPr>
          <w:b/>
          <w:color w:val="000000"/>
          <w:sz w:val="28"/>
          <w:szCs w:val="28"/>
        </w:rPr>
        <w:t>授权委托书</w:t>
      </w:r>
    </w:p>
    <w:p w14:paraId="1EC8CD73">
      <w:pPr>
        <w:pStyle w:val="63"/>
        <w:spacing w:line="360" w:lineRule="exact"/>
        <w:jc w:val="center"/>
        <w:rPr>
          <w:rFonts w:ascii="Times New Roman" w:hAnsi="Times New Roman"/>
          <w:b/>
          <w:sz w:val="32"/>
        </w:rPr>
      </w:pPr>
      <w:r>
        <w:rPr>
          <w:rFonts w:ascii="Times New Roman" w:hAnsi="Times New Roman"/>
          <w:b/>
          <w:sz w:val="32"/>
        </w:rPr>
        <w:t>授权委托书</w:t>
      </w:r>
    </w:p>
    <w:p w14:paraId="70C6FB9E">
      <w:pPr>
        <w:pStyle w:val="19"/>
      </w:pPr>
    </w:p>
    <w:p w14:paraId="4EDFC0FB">
      <w:pPr>
        <w:adjustRightInd w:val="0"/>
        <w:snapToGrid w:val="0"/>
        <w:spacing w:line="480" w:lineRule="exact"/>
        <w:ind w:firstLine="451" w:firstLineChars="215"/>
        <w:rPr>
          <w:szCs w:val="21"/>
        </w:rPr>
      </w:pPr>
      <w:r>
        <w:rPr>
          <w:szCs w:val="21"/>
        </w:rPr>
        <w:t>本授权委托书声明：本人 ___________(姓名)系_________________（</w:t>
      </w:r>
      <w:r>
        <w:rPr>
          <w:rFonts w:hint="eastAsia"/>
          <w:szCs w:val="21"/>
        </w:rPr>
        <w:t>供应商</w:t>
      </w:r>
      <w:r>
        <w:rPr>
          <w:szCs w:val="21"/>
        </w:rPr>
        <w:t>名称）的法定代表人，现授权委托__________________（被授权人的姓名）为本次投标中我单位的合法代理人，全权负责参加本次采购项目的谈判、签订合约以及与之相关的各项工作。本单位对被授权人的签名负全部责任。</w:t>
      </w:r>
    </w:p>
    <w:p w14:paraId="0F9E9807">
      <w:pPr>
        <w:adjustRightInd w:val="0"/>
        <w:snapToGrid w:val="0"/>
        <w:spacing w:line="480" w:lineRule="exact"/>
        <w:ind w:firstLine="397"/>
        <w:rPr>
          <w:szCs w:val="21"/>
        </w:rPr>
      </w:pPr>
      <w:r>
        <w:rPr>
          <w:szCs w:val="21"/>
        </w:rPr>
        <w:t>本授权书于__________年_______月________日起签字生效，特此声明。</w:t>
      </w:r>
    </w:p>
    <w:p w14:paraId="5F77E3C1">
      <w:pPr>
        <w:adjustRightInd w:val="0"/>
        <w:snapToGrid w:val="0"/>
        <w:spacing w:line="480" w:lineRule="exact"/>
        <w:ind w:firstLine="397"/>
        <w:rPr>
          <w:szCs w:val="21"/>
        </w:rPr>
      </w:pPr>
      <w:r>
        <w:rPr>
          <w:szCs w:val="21"/>
        </w:rPr>
        <w:t>被授权人情况如下（必填）：</w:t>
      </w:r>
    </w:p>
    <w:p w14:paraId="0E1D2663">
      <w:pPr>
        <w:adjustRightInd w:val="0"/>
        <w:snapToGrid w:val="0"/>
        <w:spacing w:line="480" w:lineRule="exact"/>
        <w:ind w:firstLine="397"/>
        <w:rPr>
          <w:szCs w:val="21"/>
        </w:rPr>
      </w:pPr>
      <w:r>
        <w:rPr>
          <w:szCs w:val="21"/>
        </w:rPr>
        <w:t>姓名：</w:t>
      </w:r>
      <w:r>
        <w:rPr>
          <w:szCs w:val="21"/>
          <w:u w:val="single"/>
        </w:rPr>
        <w:t xml:space="preserve">          </w:t>
      </w:r>
      <w:r>
        <w:rPr>
          <w:szCs w:val="21"/>
        </w:rPr>
        <w:t xml:space="preserve"> ；性别：</w:t>
      </w:r>
      <w:r>
        <w:rPr>
          <w:szCs w:val="21"/>
          <w:u w:val="single"/>
        </w:rPr>
        <w:t xml:space="preserve">       </w:t>
      </w:r>
      <w:r>
        <w:rPr>
          <w:szCs w:val="21"/>
        </w:rPr>
        <w:t xml:space="preserve"> ；联系电话：</w:t>
      </w:r>
      <w:r>
        <w:rPr>
          <w:szCs w:val="21"/>
          <w:u w:val="single"/>
        </w:rPr>
        <w:t xml:space="preserve">               </w:t>
      </w:r>
      <w:r>
        <w:rPr>
          <w:szCs w:val="21"/>
        </w:rPr>
        <w:t xml:space="preserve"> ；</w:t>
      </w:r>
    </w:p>
    <w:p w14:paraId="23F50856">
      <w:pPr>
        <w:adjustRightInd w:val="0"/>
        <w:snapToGrid w:val="0"/>
        <w:spacing w:line="480" w:lineRule="exact"/>
        <w:ind w:firstLine="397"/>
        <w:rPr>
          <w:szCs w:val="21"/>
        </w:rPr>
      </w:pPr>
      <w:r>
        <w:rPr>
          <w:szCs w:val="21"/>
        </w:rPr>
        <w:t>身份证号码：</w:t>
      </w:r>
      <w:r>
        <w:rPr>
          <w:szCs w:val="21"/>
          <w:u w:val="single"/>
        </w:rPr>
        <w:t xml:space="preserve">                             </w:t>
      </w:r>
      <w:r>
        <w:rPr>
          <w:szCs w:val="21"/>
        </w:rPr>
        <w:t xml:space="preserve"> 。</w:t>
      </w:r>
    </w:p>
    <w:p w14:paraId="27964057">
      <w:pPr>
        <w:adjustRightInd w:val="0"/>
        <w:snapToGrid w:val="0"/>
        <w:spacing w:line="480" w:lineRule="exact"/>
        <w:ind w:firstLine="397"/>
        <w:rPr>
          <w:szCs w:val="21"/>
        </w:rPr>
      </w:pPr>
      <w:r>
        <w:rPr>
          <w:b/>
          <w:bCs/>
          <w:szCs w:val="21"/>
        </w:rPr>
        <w:t>被授权人签字</w:t>
      </w:r>
      <w:r>
        <w:rPr>
          <w:szCs w:val="21"/>
        </w:rPr>
        <w:t>：</w:t>
      </w:r>
      <w:r>
        <w:rPr>
          <w:szCs w:val="21"/>
          <w:u w:val="single"/>
        </w:rPr>
        <w:t xml:space="preserve">             </w:t>
      </w:r>
      <w:r>
        <w:rPr>
          <w:szCs w:val="21"/>
        </w:rPr>
        <w:t xml:space="preserve"> 。</w:t>
      </w:r>
    </w:p>
    <w:p w14:paraId="0C448242">
      <w:pPr>
        <w:adjustRightInd w:val="0"/>
        <w:snapToGrid w:val="0"/>
        <w:spacing w:line="360" w:lineRule="auto"/>
        <w:rPr>
          <w:sz w:val="24"/>
        </w:rPr>
      </w:pPr>
    </w:p>
    <w:p w14:paraId="663349F5">
      <w:pPr>
        <w:spacing w:line="360" w:lineRule="auto"/>
        <w:ind w:firstLine="4620" w:firstLineChars="2200"/>
        <w:rPr>
          <w:szCs w:val="21"/>
        </w:rPr>
      </w:pPr>
      <w:r>
        <w:rPr>
          <w:rFonts w:hint="eastAsia"/>
          <w:szCs w:val="21"/>
        </w:rPr>
        <w:t>供应商</w:t>
      </w:r>
      <w:r>
        <w:rPr>
          <w:szCs w:val="21"/>
        </w:rPr>
        <w:t>名称：（公章）</w:t>
      </w:r>
    </w:p>
    <w:p w14:paraId="7C948172">
      <w:pPr>
        <w:spacing w:line="360" w:lineRule="auto"/>
        <w:ind w:firstLine="4620" w:firstLineChars="2200"/>
        <w:rPr>
          <w:szCs w:val="21"/>
        </w:rPr>
      </w:pPr>
    </w:p>
    <w:p w14:paraId="32859027">
      <w:pPr>
        <w:spacing w:line="360" w:lineRule="auto"/>
        <w:ind w:firstLine="4620" w:firstLineChars="2200"/>
        <w:rPr>
          <w:szCs w:val="21"/>
        </w:rPr>
      </w:pPr>
      <w:r>
        <w:rPr>
          <w:szCs w:val="21"/>
        </w:rPr>
        <w:t>法定代表人签字或盖章：</w:t>
      </w:r>
    </w:p>
    <w:p w14:paraId="381E9C4B">
      <w:pPr>
        <w:spacing w:line="360" w:lineRule="auto"/>
        <w:rPr>
          <w:szCs w:val="21"/>
        </w:rPr>
      </w:pPr>
    </w:p>
    <w:p w14:paraId="03B266C0">
      <w:pPr>
        <w:spacing w:line="360" w:lineRule="auto"/>
        <w:rPr>
          <w:szCs w:val="21"/>
        </w:rPr>
      </w:pPr>
      <w:r>
        <w:rPr>
          <w:szCs w:val="21"/>
        </w:rPr>
        <w:t>被授权人身份证复印件：</w:t>
      </w:r>
    </w:p>
    <w:p w14:paraId="3596A821">
      <w:pPr>
        <w:spacing w:line="360" w:lineRule="auto"/>
        <w:rPr>
          <w:szCs w:val="21"/>
        </w:rPr>
      </w:pPr>
    </w:p>
    <w:p w14:paraId="5BBE105B">
      <w:pPr>
        <w:snapToGrid w:val="0"/>
        <w:spacing w:line="360" w:lineRule="auto"/>
        <w:jc w:val="center"/>
        <w:rPr>
          <w:szCs w:val="21"/>
        </w:rPr>
      </w:pPr>
      <w:r>
        <w:rPr>
          <w:sz w:val="24"/>
        </w:rPr>
        <mc:AlternateContent>
          <mc:Choice Requires="wps">
            <w:drawing>
              <wp:anchor distT="0" distB="0" distL="114300" distR="114300" simplePos="0" relativeHeight="251660288" behindDoc="0" locked="0" layoutInCell="1" allowOverlap="1">
                <wp:simplePos x="0" y="0"/>
                <wp:positionH relativeFrom="column">
                  <wp:posOffset>2367280</wp:posOffset>
                </wp:positionH>
                <wp:positionV relativeFrom="paragraph">
                  <wp:posOffset>278765</wp:posOffset>
                </wp:positionV>
                <wp:extent cx="596265" cy="977265"/>
                <wp:effectExtent l="0" t="0" r="13335" b="13335"/>
                <wp:wrapNone/>
                <wp:docPr id="149" name="文本框 149"/>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a:noFill/>
                        </a:ln>
                      </wps:spPr>
                      <wps:txbx>
                        <w:txbxContent>
                          <w:p w14:paraId="6BAB2776">
                            <w:pPr>
                              <w:rPr>
                                <w:sz w:val="28"/>
                                <w:szCs w:val="28"/>
                              </w:rPr>
                            </w:pPr>
                          </w:p>
                        </w:txbxContent>
                      </wps:txbx>
                      <wps:bodyPr vert="eaVert" upright="1"/>
                    </wps:wsp>
                  </a:graphicData>
                </a:graphic>
              </wp:anchor>
            </w:drawing>
          </mc:Choice>
          <mc:Fallback>
            <w:pict>
              <v:shape id="_x0000_s1026" o:spid="_x0000_s1026" o:spt="202" type="#_x0000_t202" style="position:absolute;left:0pt;margin-left:186.4pt;margin-top:21.95pt;height:76.95pt;width:46.95pt;z-index:251660288;mso-width-relative:page;mso-height-relative:page;" fillcolor="#FFFFFF" filled="t" stroked="f" coordsize="21600,21600" o:gfxdata="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RC8PR1wAAAAoBAAAPAAAAAAAAAAEAIAAAACIAAABkcnMvZG93bnJl&#10;di54bWxQSwECFAAUAAAACACHTuJABw63cf4BAAAPBAAADgAAAAAAAAABACAAAAAmAQAAZHJzL2Uy&#10;b0RvYy54bWxQSwUGAAAAAAYABgBZAQAAlgUAAAAA&#10;">
                <v:fill type="gradient" on="t" color2="#FFFFFF" angle="90" focus="100%" focussize="0,0">
                  <o:fill type="gradientUnscaled" v:ext="backwardCompatible"/>
                </v:fill>
                <v:stroke on="f"/>
                <v:imagedata o:title=""/>
                <o:lock v:ext="edit" aspectratio="f"/>
                <v:textbox style="layout-flow:vertical-ideographic;">
                  <w:txbxContent>
                    <w:p w14:paraId="6BAB2776">
                      <w:pPr>
                        <w:rPr>
                          <w:sz w:val="28"/>
                          <w:szCs w:val="28"/>
                        </w:rPr>
                      </w:pPr>
                    </w:p>
                  </w:txbxContent>
                </v:textbox>
              </v:shape>
            </w:pict>
          </mc:Fallback>
        </mc:AlternateContent>
      </w:r>
      <w:r>
        <w:rPr>
          <w:b/>
          <w:sz w:val="24"/>
          <w:szCs w:val="28"/>
        </w:rPr>
        <w:drawing>
          <wp:inline distT="0" distB="0" distL="114300" distR="114300">
            <wp:extent cx="5380355" cy="1437640"/>
            <wp:effectExtent l="0" t="0" r="14605" b="10160"/>
            <wp:docPr id="150"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2" descr="图片1"/>
                    <pic:cNvPicPr>
                      <a:picLocks noChangeAspect="1"/>
                    </pic:cNvPicPr>
                  </pic:nvPicPr>
                  <pic:blipFill>
                    <a:blip r:embed="rId6"/>
                    <a:stretch>
                      <a:fillRect/>
                    </a:stretch>
                  </pic:blipFill>
                  <pic:spPr>
                    <a:xfrm>
                      <a:off x="0" y="0"/>
                      <a:ext cx="5380355" cy="1437640"/>
                    </a:xfrm>
                    <a:prstGeom prst="rect">
                      <a:avLst/>
                    </a:prstGeom>
                    <a:noFill/>
                    <a:ln>
                      <a:noFill/>
                    </a:ln>
                  </pic:spPr>
                </pic:pic>
              </a:graphicData>
            </a:graphic>
          </wp:inline>
        </w:drawing>
      </w:r>
    </w:p>
    <w:p w14:paraId="538946A8">
      <w:pPr>
        <w:spacing w:line="360" w:lineRule="auto"/>
        <w:rPr>
          <w:szCs w:val="21"/>
        </w:rPr>
      </w:pPr>
    </w:p>
    <w:p w14:paraId="065601D8">
      <w:pPr>
        <w:spacing w:line="360" w:lineRule="auto"/>
        <w:rPr>
          <w:szCs w:val="21"/>
        </w:rPr>
      </w:pPr>
    </w:p>
    <w:p w14:paraId="6A26A423">
      <w:pPr>
        <w:spacing w:line="360" w:lineRule="auto"/>
        <w:rPr>
          <w:szCs w:val="21"/>
        </w:rPr>
      </w:pPr>
    </w:p>
    <w:p w14:paraId="5CF5ABBE">
      <w:pPr>
        <w:spacing w:line="360" w:lineRule="auto"/>
        <w:rPr>
          <w:b/>
          <w:bCs/>
          <w:szCs w:val="21"/>
        </w:rPr>
      </w:pPr>
    </w:p>
    <w:p w14:paraId="4AF94403">
      <w:pPr>
        <w:spacing w:line="360" w:lineRule="auto"/>
        <w:rPr>
          <w:b/>
          <w:bCs/>
          <w:szCs w:val="21"/>
        </w:rPr>
      </w:pPr>
      <w:r>
        <w:rPr>
          <w:b/>
          <w:bCs/>
          <w:szCs w:val="21"/>
        </w:rPr>
        <w:t>注：</w:t>
      </w:r>
    </w:p>
    <w:p w14:paraId="24F43487">
      <w:pPr>
        <w:rPr>
          <w:b/>
          <w:bCs/>
          <w:szCs w:val="21"/>
        </w:rPr>
      </w:pPr>
      <w:r>
        <w:rPr>
          <w:b/>
          <w:bCs/>
          <w:szCs w:val="21"/>
        </w:rPr>
        <w:t>1、被授权人参加开标会议时，须携带并按要求提交授权委托书和本人身份证原件。</w:t>
      </w:r>
    </w:p>
    <w:p w14:paraId="5E9DAAE2">
      <w:pPr>
        <w:rPr>
          <w:sz w:val="24"/>
        </w:rPr>
      </w:pPr>
      <w:r>
        <w:rPr>
          <w:b/>
          <w:bCs/>
          <w:szCs w:val="21"/>
        </w:rPr>
        <w:t>2、身份证复印件信息必须清晰可辨，如因清晰度不够引起的一切后果由</w:t>
      </w:r>
      <w:r>
        <w:rPr>
          <w:rFonts w:hint="eastAsia"/>
          <w:b/>
          <w:bCs/>
          <w:szCs w:val="21"/>
        </w:rPr>
        <w:t>供应商</w:t>
      </w:r>
      <w:r>
        <w:rPr>
          <w:b/>
          <w:bCs/>
          <w:szCs w:val="21"/>
        </w:rPr>
        <w:t>自行承担。</w:t>
      </w:r>
    </w:p>
    <w:p w14:paraId="2D8E8C5B">
      <w:pPr>
        <w:spacing w:line="520" w:lineRule="exact"/>
        <w:rPr>
          <w:sz w:val="28"/>
          <w:szCs w:val="28"/>
        </w:rPr>
      </w:pPr>
    </w:p>
    <w:p w14:paraId="59992756">
      <w:pPr>
        <w:pStyle w:val="5"/>
        <w:overflowPunct w:val="0"/>
        <w:spacing w:line="500" w:lineRule="exact"/>
        <w:ind w:firstLine="0"/>
        <w:rPr>
          <w:rFonts w:hint="default" w:ascii="Times New Roman" w:eastAsia="宋体"/>
          <w:b/>
          <w:color w:val="000000"/>
          <w:sz w:val="32"/>
          <w:szCs w:val="32"/>
          <w:lang w:val="en-US" w:eastAsia="zh-CN"/>
        </w:rPr>
      </w:pPr>
      <w:bookmarkStart w:id="27" w:name="_Toc330998563"/>
      <w:bookmarkStart w:id="28" w:name="_Toc322436239"/>
      <w:bookmarkStart w:id="29" w:name="_Toc331056451"/>
      <w:bookmarkStart w:id="30" w:name="_Toc331061672"/>
      <w:bookmarkStart w:id="31" w:name="_Toc322436004"/>
      <w:bookmarkStart w:id="32" w:name="_Toc322436059"/>
      <w:bookmarkStart w:id="33" w:name="_Toc322435834"/>
      <w:r>
        <w:rPr>
          <w:rFonts w:ascii="Times New Roman"/>
          <w:b/>
          <w:color w:val="000000"/>
          <w:sz w:val="32"/>
          <w:szCs w:val="32"/>
        </w:rPr>
        <w:t>附件</w:t>
      </w:r>
      <w:r>
        <w:rPr>
          <w:rFonts w:hint="eastAsia" w:ascii="Times New Roman"/>
          <w:b/>
          <w:color w:val="000000"/>
          <w:sz w:val="32"/>
          <w:szCs w:val="32"/>
        </w:rPr>
        <w:t>3</w:t>
      </w:r>
      <w:r>
        <w:rPr>
          <w:rFonts w:ascii="Times New Roman"/>
          <w:b/>
          <w:color w:val="000000"/>
          <w:sz w:val="32"/>
          <w:szCs w:val="32"/>
        </w:rPr>
        <w:t>：开标一览表</w:t>
      </w:r>
      <w:bookmarkEnd w:id="27"/>
      <w:bookmarkEnd w:id="28"/>
      <w:bookmarkEnd w:id="29"/>
      <w:bookmarkEnd w:id="30"/>
      <w:bookmarkEnd w:id="31"/>
      <w:bookmarkEnd w:id="32"/>
      <w:bookmarkEnd w:id="33"/>
      <w:r>
        <w:rPr>
          <w:rFonts w:hint="eastAsia" w:ascii="Times New Roman"/>
          <w:b/>
          <w:color w:val="000000"/>
          <w:sz w:val="32"/>
          <w:szCs w:val="32"/>
        </w:rPr>
        <w:t>、</w:t>
      </w:r>
      <w:r>
        <w:rPr>
          <w:rFonts w:hint="eastAsia" w:ascii="Times New Roman"/>
          <w:b/>
          <w:color w:val="000000"/>
          <w:sz w:val="32"/>
          <w:szCs w:val="32"/>
          <w:lang w:val="en-US" w:eastAsia="zh-CN"/>
        </w:rPr>
        <w:t>分项报价表</w:t>
      </w:r>
    </w:p>
    <w:p w14:paraId="5F764DD2">
      <w:pPr>
        <w:spacing w:line="520" w:lineRule="exact"/>
        <w:ind w:firstLine="602" w:firstLineChars="200"/>
        <w:jc w:val="center"/>
        <w:rPr>
          <w:b/>
          <w:bCs/>
          <w:sz w:val="30"/>
          <w:szCs w:val="30"/>
        </w:rPr>
      </w:pPr>
    </w:p>
    <w:p w14:paraId="3AD2249C">
      <w:pPr>
        <w:spacing w:line="520" w:lineRule="exact"/>
        <w:ind w:firstLine="602" w:firstLineChars="200"/>
        <w:jc w:val="center"/>
        <w:rPr>
          <w:b/>
          <w:bCs/>
          <w:sz w:val="30"/>
          <w:szCs w:val="30"/>
        </w:rPr>
      </w:pPr>
      <w:r>
        <w:rPr>
          <w:b/>
          <w:bCs/>
          <w:sz w:val="30"/>
          <w:szCs w:val="30"/>
        </w:rPr>
        <w:t>开标一览表</w:t>
      </w:r>
    </w:p>
    <w:p w14:paraId="32793C5F">
      <w:pPr>
        <w:spacing w:line="520" w:lineRule="exact"/>
        <w:ind w:firstLine="420" w:firstLineChars="200"/>
        <w:rPr>
          <w:szCs w:val="21"/>
        </w:rPr>
      </w:pPr>
      <w:r>
        <w:rPr>
          <w:szCs w:val="21"/>
        </w:rPr>
        <w:t xml:space="preserve"> </w:t>
      </w:r>
    </w:p>
    <w:p w14:paraId="2C44CFA6">
      <w:pPr>
        <w:pStyle w:val="4"/>
        <w:rPr>
          <w:b w:val="0"/>
          <w:bCs w:val="0"/>
          <w:sz w:val="21"/>
          <w:szCs w:val="21"/>
        </w:rPr>
      </w:pPr>
      <w:r>
        <w:rPr>
          <w:b w:val="0"/>
          <w:bCs w:val="0"/>
          <w:sz w:val="21"/>
          <w:szCs w:val="21"/>
        </w:rPr>
        <w:t xml:space="preserve">供应商名称（盖章）:  </w:t>
      </w:r>
    </w:p>
    <w:p w14:paraId="6BE012B9">
      <w:pPr>
        <w:pStyle w:val="40"/>
        <w:rPr>
          <w:rFonts w:ascii="Times New Roman" w:cs="Times New Roman"/>
          <w:szCs w:val="21"/>
        </w:rPr>
      </w:pPr>
      <w:r>
        <w:rPr>
          <w:rFonts w:hint="eastAsia" w:ascii="Times New Roman" w:cs="Times New Roman"/>
          <w:szCs w:val="21"/>
        </w:rPr>
        <w:t xml:space="preserve"> </w:t>
      </w:r>
    </w:p>
    <w:tbl>
      <w:tblPr>
        <w:tblStyle w:val="26"/>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6"/>
        <w:gridCol w:w="7563"/>
      </w:tblGrid>
      <w:tr w14:paraId="1EEF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2096" w:type="dxa"/>
            <w:vAlign w:val="center"/>
          </w:tcPr>
          <w:p w14:paraId="7124056B">
            <w:pPr>
              <w:jc w:val="center"/>
              <w:rPr>
                <w:rFonts w:ascii="宋体" w:hAnsi="宋体" w:cs="宋体"/>
                <w:szCs w:val="21"/>
              </w:rPr>
            </w:pPr>
            <w:r>
              <w:rPr>
                <w:rFonts w:hint="eastAsia" w:ascii="宋体" w:hAnsi="宋体" w:cs="宋体"/>
                <w:szCs w:val="21"/>
              </w:rPr>
              <w:t>项目名称</w:t>
            </w:r>
          </w:p>
        </w:tc>
        <w:tc>
          <w:tcPr>
            <w:tcW w:w="7563" w:type="dxa"/>
            <w:vAlign w:val="center"/>
          </w:tcPr>
          <w:p w14:paraId="2A466FEB">
            <w:pPr>
              <w:jc w:val="center"/>
              <w:rPr>
                <w:rFonts w:ascii="宋体" w:hAnsi="宋体" w:cs="宋体"/>
                <w:szCs w:val="21"/>
              </w:rPr>
            </w:pPr>
          </w:p>
        </w:tc>
      </w:tr>
      <w:tr w14:paraId="46CAB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2096" w:type="dxa"/>
            <w:vAlign w:val="center"/>
          </w:tcPr>
          <w:p w14:paraId="42210232">
            <w:pPr>
              <w:jc w:val="center"/>
              <w:rPr>
                <w:rFonts w:ascii="宋体" w:hAnsi="宋体" w:cs="宋体"/>
                <w:szCs w:val="21"/>
              </w:rPr>
            </w:pPr>
            <w:r>
              <w:rPr>
                <w:rFonts w:hint="eastAsia" w:ascii="宋体" w:hAnsi="宋体" w:cs="宋体"/>
                <w:szCs w:val="21"/>
              </w:rPr>
              <w:t>投标总价（含税）</w:t>
            </w:r>
          </w:p>
        </w:tc>
        <w:tc>
          <w:tcPr>
            <w:tcW w:w="7563" w:type="dxa"/>
            <w:vAlign w:val="center"/>
          </w:tcPr>
          <w:p w14:paraId="3C02F240">
            <w:pPr>
              <w:ind w:firstLine="1054" w:firstLineChars="500"/>
              <w:rPr>
                <w:rFonts w:ascii="宋体" w:hAnsi="宋体" w:cs="宋体"/>
                <w:szCs w:val="21"/>
              </w:rPr>
            </w:pPr>
            <w:r>
              <w:rPr>
                <w:rFonts w:hint="eastAsia" w:ascii="宋体" w:hAnsi="宋体" w:cs="宋体"/>
                <w:b/>
                <w:bCs/>
                <w:color w:val="000000"/>
                <w:szCs w:val="21"/>
              </w:rPr>
              <w:t xml:space="preserve">大写：                ；小写                      </w:t>
            </w:r>
          </w:p>
        </w:tc>
      </w:tr>
      <w:tr w14:paraId="57D4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2096" w:type="dxa"/>
            <w:vAlign w:val="center"/>
          </w:tcPr>
          <w:p w14:paraId="0A22717B">
            <w:pPr>
              <w:jc w:val="center"/>
              <w:rPr>
                <w:rFonts w:ascii="宋体" w:hAnsi="宋体" w:cs="宋体"/>
                <w:szCs w:val="21"/>
              </w:rPr>
            </w:pPr>
            <w:r>
              <w:rPr>
                <w:rFonts w:hint="eastAsia" w:ascii="宋体" w:hAnsi="宋体" w:cs="宋体"/>
                <w:szCs w:val="21"/>
              </w:rPr>
              <w:t>投标税率</w:t>
            </w:r>
          </w:p>
        </w:tc>
        <w:tc>
          <w:tcPr>
            <w:tcW w:w="7563" w:type="dxa"/>
            <w:vAlign w:val="center"/>
          </w:tcPr>
          <w:p w14:paraId="6719CFBF">
            <w:pPr>
              <w:jc w:val="center"/>
              <w:rPr>
                <w:rFonts w:ascii="宋体" w:hAnsi="宋体" w:cs="宋体"/>
                <w:szCs w:val="21"/>
              </w:rPr>
            </w:pPr>
            <w:r>
              <w:rPr>
                <w:rFonts w:hint="eastAsia" w:ascii="宋体" w:hAnsi="宋体" w:cs="宋体"/>
                <w:szCs w:val="21"/>
              </w:rPr>
              <w:t>%</w:t>
            </w:r>
          </w:p>
        </w:tc>
      </w:tr>
    </w:tbl>
    <w:p w14:paraId="0898DE98">
      <w:pPr>
        <w:pStyle w:val="40"/>
        <w:rPr>
          <w:rFonts w:ascii="Times New Roman" w:cs="Times New Roman"/>
          <w:szCs w:val="21"/>
        </w:rPr>
      </w:pPr>
    </w:p>
    <w:p w14:paraId="5B8B88CA">
      <w:pPr>
        <w:pStyle w:val="40"/>
        <w:rPr>
          <w:rFonts w:ascii="Times New Roman" w:cs="Times New Roman"/>
          <w:szCs w:val="21"/>
        </w:rPr>
      </w:pPr>
    </w:p>
    <w:p w14:paraId="28E08019">
      <w:pPr>
        <w:pStyle w:val="40"/>
        <w:rPr>
          <w:rFonts w:ascii="Times New Roman" w:cs="Times New Roman"/>
          <w:szCs w:val="21"/>
        </w:rPr>
      </w:pPr>
    </w:p>
    <w:p w14:paraId="5101A8E1">
      <w:pPr>
        <w:spacing w:line="280" w:lineRule="exact"/>
        <w:rPr>
          <w:szCs w:val="21"/>
        </w:rPr>
      </w:pPr>
      <w:r>
        <w:rPr>
          <w:szCs w:val="21"/>
        </w:rPr>
        <w:t>法定代表人或代理人（签字或盖章）：</w:t>
      </w:r>
    </w:p>
    <w:p w14:paraId="398A80E6">
      <w:pPr>
        <w:pStyle w:val="40"/>
        <w:rPr>
          <w:rFonts w:ascii="Times New Roman" w:cs="Times New Roman"/>
          <w:szCs w:val="21"/>
        </w:rPr>
      </w:pPr>
    </w:p>
    <w:p w14:paraId="2C57BF31">
      <w:pPr>
        <w:pStyle w:val="5"/>
        <w:overflowPunct w:val="0"/>
        <w:spacing w:line="500" w:lineRule="exact"/>
        <w:rPr>
          <w:rFonts w:ascii="Times New Roman"/>
          <w:sz w:val="21"/>
          <w:szCs w:val="21"/>
        </w:rPr>
      </w:pPr>
      <w:r>
        <w:rPr>
          <w:rFonts w:ascii="Times New Roman"/>
          <w:sz w:val="21"/>
          <w:szCs w:val="21"/>
        </w:rPr>
        <w:t>年</w:t>
      </w:r>
      <w:r>
        <w:rPr>
          <w:rFonts w:ascii="Times New Roman"/>
          <w:sz w:val="21"/>
          <w:szCs w:val="21"/>
        </w:rPr>
        <w:tab/>
      </w:r>
      <w:r>
        <w:rPr>
          <w:rFonts w:ascii="Times New Roman"/>
          <w:sz w:val="21"/>
          <w:szCs w:val="21"/>
        </w:rPr>
        <w:t xml:space="preserve"> 月 </w:t>
      </w:r>
      <w:r>
        <w:rPr>
          <w:rFonts w:ascii="Times New Roman"/>
          <w:sz w:val="21"/>
          <w:szCs w:val="21"/>
        </w:rPr>
        <w:tab/>
      </w:r>
      <w:r>
        <w:rPr>
          <w:rFonts w:ascii="Times New Roman"/>
          <w:sz w:val="21"/>
          <w:szCs w:val="21"/>
        </w:rPr>
        <w:t>日</w:t>
      </w:r>
    </w:p>
    <w:p w14:paraId="40AD7923">
      <w:pPr>
        <w:spacing w:line="520" w:lineRule="exact"/>
        <w:ind w:firstLine="420" w:firstLineChars="200"/>
        <w:jc w:val="left"/>
        <w:rPr>
          <w:szCs w:val="21"/>
        </w:rPr>
      </w:pPr>
      <w:r>
        <w:rPr>
          <w:szCs w:val="21"/>
        </w:rPr>
        <w:t xml:space="preserve">                                                  </w:t>
      </w:r>
    </w:p>
    <w:p w14:paraId="1C535D64">
      <w:pPr>
        <w:pStyle w:val="5"/>
        <w:overflowPunct w:val="0"/>
        <w:spacing w:line="500" w:lineRule="exact"/>
        <w:ind w:firstLine="0"/>
        <w:rPr>
          <w:rFonts w:ascii="Times New Roman"/>
          <w:sz w:val="21"/>
          <w:szCs w:val="21"/>
        </w:rPr>
      </w:pPr>
    </w:p>
    <w:p w14:paraId="50E25264">
      <w:pPr>
        <w:pStyle w:val="5"/>
        <w:overflowPunct w:val="0"/>
        <w:spacing w:line="500" w:lineRule="exact"/>
        <w:ind w:firstLine="0"/>
        <w:rPr>
          <w:rFonts w:ascii="Times New Roman"/>
          <w:sz w:val="21"/>
          <w:szCs w:val="21"/>
        </w:rPr>
      </w:pPr>
    </w:p>
    <w:p w14:paraId="2AB0D6DE">
      <w:pPr>
        <w:pStyle w:val="5"/>
        <w:overflowPunct w:val="0"/>
        <w:spacing w:line="500" w:lineRule="exact"/>
        <w:ind w:firstLine="0"/>
        <w:rPr>
          <w:rFonts w:ascii="Times New Roman"/>
          <w:sz w:val="21"/>
          <w:szCs w:val="21"/>
        </w:rPr>
      </w:pPr>
    </w:p>
    <w:p w14:paraId="0CA3FFED">
      <w:pPr>
        <w:pStyle w:val="5"/>
        <w:overflowPunct w:val="0"/>
        <w:spacing w:line="500" w:lineRule="exact"/>
        <w:ind w:firstLine="0"/>
        <w:rPr>
          <w:rFonts w:ascii="Times New Roman"/>
          <w:sz w:val="21"/>
          <w:szCs w:val="21"/>
        </w:rPr>
      </w:pPr>
    </w:p>
    <w:p w14:paraId="608ED409">
      <w:pPr>
        <w:ind w:firstLine="560"/>
        <w:rPr>
          <w:szCs w:val="21"/>
        </w:rPr>
      </w:pPr>
      <w:bookmarkStart w:id="34" w:name="_Toc322436241"/>
      <w:bookmarkStart w:id="35" w:name="_Toc330998565"/>
      <w:bookmarkStart w:id="36" w:name="_Toc331061674"/>
      <w:bookmarkStart w:id="37" w:name="_Toc322435836"/>
      <w:bookmarkStart w:id="38" w:name="_Toc322436006"/>
      <w:bookmarkStart w:id="39" w:name="_Toc331056453"/>
      <w:bookmarkStart w:id="40" w:name="_Toc322436061"/>
    </w:p>
    <w:p w14:paraId="255F8872">
      <w:pPr>
        <w:ind w:firstLine="560"/>
        <w:rPr>
          <w:szCs w:val="21"/>
        </w:rPr>
      </w:pPr>
    </w:p>
    <w:p w14:paraId="185AB56B">
      <w:pPr>
        <w:ind w:firstLine="560"/>
        <w:rPr>
          <w:szCs w:val="21"/>
        </w:rPr>
      </w:pPr>
    </w:p>
    <w:p w14:paraId="0EA80E84">
      <w:pPr>
        <w:ind w:firstLine="560"/>
        <w:rPr>
          <w:szCs w:val="21"/>
        </w:rPr>
      </w:pPr>
    </w:p>
    <w:p w14:paraId="450778F8">
      <w:pPr>
        <w:ind w:firstLine="560"/>
        <w:rPr>
          <w:szCs w:val="21"/>
        </w:rPr>
      </w:pPr>
    </w:p>
    <w:p w14:paraId="7F970FC1">
      <w:pPr>
        <w:ind w:firstLine="560"/>
        <w:rPr>
          <w:szCs w:val="21"/>
        </w:rPr>
      </w:pPr>
    </w:p>
    <w:p w14:paraId="6757ADBB">
      <w:pPr>
        <w:ind w:firstLine="560"/>
        <w:rPr>
          <w:szCs w:val="21"/>
        </w:rPr>
      </w:pPr>
    </w:p>
    <w:p w14:paraId="21027901">
      <w:pPr>
        <w:ind w:firstLine="560"/>
        <w:rPr>
          <w:szCs w:val="21"/>
        </w:rPr>
      </w:pPr>
    </w:p>
    <w:p w14:paraId="725EF0B9">
      <w:pPr>
        <w:ind w:firstLine="560"/>
        <w:rPr>
          <w:szCs w:val="21"/>
        </w:rPr>
      </w:pPr>
    </w:p>
    <w:p w14:paraId="75F11CC4">
      <w:pPr>
        <w:ind w:firstLine="560"/>
        <w:rPr>
          <w:szCs w:val="21"/>
        </w:rPr>
      </w:pPr>
    </w:p>
    <w:p w14:paraId="716D6BF2">
      <w:pPr>
        <w:ind w:firstLine="560"/>
        <w:rPr>
          <w:szCs w:val="21"/>
        </w:rPr>
      </w:pPr>
    </w:p>
    <w:p w14:paraId="18CA760E">
      <w:pPr>
        <w:ind w:firstLine="560"/>
        <w:rPr>
          <w:szCs w:val="21"/>
        </w:rPr>
        <w:sectPr>
          <w:headerReference r:id="rId3" w:type="default"/>
          <w:footerReference r:id="rId4" w:type="default"/>
          <w:pgSz w:w="11906" w:h="16838"/>
          <w:pgMar w:top="1440" w:right="1440" w:bottom="1440" w:left="1440" w:header="851" w:footer="992" w:gutter="0"/>
          <w:cols w:space="0" w:num="1"/>
          <w:docGrid w:linePitch="326" w:charSpace="0"/>
        </w:sectPr>
      </w:pPr>
    </w:p>
    <w:p w14:paraId="337B1246">
      <w:pPr>
        <w:rPr>
          <w:szCs w:val="21"/>
        </w:rPr>
      </w:pPr>
    </w:p>
    <w:p w14:paraId="0D4913D1">
      <w:pPr>
        <w:spacing w:line="520" w:lineRule="exact"/>
        <w:ind w:firstLine="602" w:firstLineChars="200"/>
        <w:jc w:val="center"/>
        <w:rPr>
          <w:rFonts w:hint="eastAsia"/>
          <w:b/>
          <w:bCs/>
          <w:sz w:val="30"/>
          <w:szCs w:val="30"/>
        </w:rPr>
      </w:pPr>
      <w:r>
        <w:rPr>
          <w:rFonts w:hint="eastAsia"/>
          <w:b/>
          <w:bCs/>
          <w:sz w:val="30"/>
          <w:szCs w:val="30"/>
        </w:rPr>
        <w:t>分项报价表</w:t>
      </w:r>
    </w:p>
    <w:p w14:paraId="3B1F72DE">
      <w:pPr>
        <w:keepNext w:val="0"/>
        <w:keepLines w:val="0"/>
        <w:pageBreakBefore w:val="0"/>
        <w:widowControl w:val="0"/>
        <w:kinsoku/>
        <w:wordWrap/>
        <w:overflowPunct/>
        <w:topLinePunct w:val="0"/>
        <w:autoSpaceDE/>
        <w:autoSpaceDN/>
        <w:bidi w:val="0"/>
        <w:adjustRightInd/>
        <w:snapToGrid/>
        <w:spacing w:after="157" w:afterLines="50" w:line="520" w:lineRule="exact"/>
        <w:ind w:firstLine="420" w:firstLineChars="200"/>
        <w:jc w:val="left"/>
        <w:textAlignment w:val="auto"/>
        <w:rPr>
          <w:rFonts w:hint="eastAsia"/>
          <w:b/>
          <w:bCs/>
          <w:sz w:val="30"/>
          <w:szCs w:val="30"/>
        </w:rPr>
      </w:pPr>
      <w:r>
        <w:rPr>
          <w:b w:val="0"/>
          <w:bCs w:val="0"/>
          <w:sz w:val="21"/>
          <w:szCs w:val="21"/>
        </w:rPr>
        <w:t>供应商名称（盖章）:</w:t>
      </w:r>
    </w:p>
    <w:tbl>
      <w:tblPr>
        <w:tblStyle w:val="26"/>
        <w:tblW w:w="1468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03"/>
        <w:gridCol w:w="1303"/>
        <w:gridCol w:w="8049"/>
        <w:gridCol w:w="806"/>
        <w:gridCol w:w="514"/>
        <w:gridCol w:w="754"/>
        <w:gridCol w:w="900"/>
        <w:gridCol w:w="1080"/>
        <w:gridCol w:w="777"/>
      </w:tblGrid>
      <w:tr w14:paraId="43AF0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03" w:type="dxa"/>
            <w:shd w:val="clear" w:color="auto" w:fill="auto"/>
            <w:vAlign w:val="center"/>
          </w:tcPr>
          <w:p w14:paraId="23D4EBF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03" w:type="dxa"/>
            <w:shd w:val="clear" w:color="auto" w:fill="auto"/>
            <w:vAlign w:val="center"/>
          </w:tcPr>
          <w:p w14:paraId="64963D5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产品描述名称</w:t>
            </w:r>
          </w:p>
        </w:tc>
        <w:tc>
          <w:tcPr>
            <w:tcW w:w="8049" w:type="dxa"/>
            <w:shd w:val="clear" w:color="auto" w:fill="auto"/>
            <w:vAlign w:val="center"/>
          </w:tcPr>
          <w:p w14:paraId="35A1EE8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技术参数</w:t>
            </w:r>
          </w:p>
        </w:tc>
        <w:tc>
          <w:tcPr>
            <w:tcW w:w="806" w:type="dxa"/>
            <w:shd w:val="clear" w:color="auto" w:fill="auto"/>
            <w:vAlign w:val="center"/>
          </w:tcPr>
          <w:p w14:paraId="31E64A1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514" w:type="dxa"/>
            <w:shd w:val="clear" w:color="auto" w:fill="auto"/>
            <w:vAlign w:val="center"/>
          </w:tcPr>
          <w:p w14:paraId="4923E4B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754" w:type="dxa"/>
            <w:shd w:val="clear" w:color="auto" w:fill="auto"/>
            <w:vAlign w:val="center"/>
          </w:tcPr>
          <w:p w14:paraId="28DE694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投标品牌</w:t>
            </w:r>
          </w:p>
        </w:tc>
        <w:tc>
          <w:tcPr>
            <w:tcW w:w="900" w:type="dxa"/>
            <w:shd w:val="clear" w:color="auto" w:fill="auto"/>
            <w:vAlign w:val="center"/>
          </w:tcPr>
          <w:p w14:paraId="4DF0C75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投标型号</w:t>
            </w:r>
          </w:p>
        </w:tc>
        <w:tc>
          <w:tcPr>
            <w:tcW w:w="1080" w:type="dxa"/>
            <w:shd w:val="clear" w:color="auto" w:fill="auto"/>
            <w:vAlign w:val="center"/>
          </w:tcPr>
          <w:p w14:paraId="0F2E59F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投标全费用单价（元）</w:t>
            </w:r>
          </w:p>
        </w:tc>
        <w:tc>
          <w:tcPr>
            <w:tcW w:w="777" w:type="dxa"/>
            <w:shd w:val="clear" w:color="auto" w:fill="auto"/>
            <w:vAlign w:val="center"/>
          </w:tcPr>
          <w:p w14:paraId="6512249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投标合计（元）</w:t>
            </w:r>
          </w:p>
        </w:tc>
      </w:tr>
      <w:tr w14:paraId="5AC8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4686" w:type="dxa"/>
            <w:gridSpan w:val="9"/>
            <w:shd w:val="clear" w:color="auto" w:fill="auto"/>
            <w:noWrap/>
            <w:vAlign w:val="center"/>
          </w:tcPr>
          <w:p w14:paraId="70C09765">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会议LED屏</w:t>
            </w:r>
          </w:p>
        </w:tc>
      </w:tr>
      <w:tr w14:paraId="2B455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503" w:type="dxa"/>
            <w:shd w:val="clear" w:color="auto" w:fill="auto"/>
            <w:vAlign w:val="center"/>
          </w:tcPr>
          <w:p w14:paraId="5B8206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03" w:type="dxa"/>
            <w:shd w:val="clear" w:color="auto" w:fill="auto"/>
            <w:vAlign w:val="center"/>
          </w:tcPr>
          <w:p w14:paraId="42B90B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LED主显示屏</w:t>
            </w:r>
          </w:p>
        </w:tc>
        <w:tc>
          <w:tcPr>
            <w:tcW w:w="8049" w:type="dxa"/>
            <w:shd w:val="clear" w:color="auto" w:fill="auto"/>
            <w:vAlign w:val="center"/>
          </w:tcPr>
          <w:p w14:paraId="075DC40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1.尺寸≥5.12m*≥2.88m，显示分辨率不低于3328点*1872点，显示面积不低于14.74平米；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▲2.像数物理间距≤1.538mm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▲3.像素密度≥422500点/平方；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4.对比度≥5000:1；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5.白平衡亮度≥500cd/㎡；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6.视角：水平视角≥160°，垂直视角≥140°；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7.换帧频率：50&amp;60Hz；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8.模组亮度均匀性≥97%；</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9.低亮高灰：100%亮度时，18bit灰度，20%亮度时，≥14bit灰度；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10.峰值功耗≤460W/㎡、平均功耗≤145W/㎡；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11.使用寿命≥100000小时；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12.IP等级符合IP6X；</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13.PCB防火等级达V-0级；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14.校正功能：支持模块校正和数据储存及回读。支持单点亮度校正，支持单点色度校正，支灰度校正；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15.采用4层PCB设计，一体化驱动控制，PCB 表面沉金处理，采用抗消隐设计，无“毛毛虫”“鬼影”跟随现象；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16.色度均匀性：±0.002Cx，Cy之内；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17.驱动方式：恒流驱动；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18.支持自动对位设计；具有拼缝微调功能；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19.发光点中心距偏差≤2%；</w:t>
            </w:r>
          </w:p>
        </w:tc>
        <w:tc>
          <w:tcPr>
            <w:tcW w:w="806" w:type="dxa"/>
            <w:shd w:val="clear" w:color="auto" w:fill="auto"/>
            <w:vAlign w:val="center"/>
          </w:tcPr>
          <w:p w14:paraId="7FA141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14.74</w:t>
            </w:r>
          </w:p>
        </w:tc>
        <w:tc>
          <w:tcPr>
            <w:tcW w:w="514" w:type="dxa"/>
            <w:shd w:val="clear" w:color="auto" w:fill="auto"/>
            <w:vAlign w:val="center"/>
          </w:tcPr>
          <w:p w14:paraId="74096A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754" w:type="dxa"/>
            <w:shd w:val="clear" w:color="auto" w:fill="auto"/>
            <w:vAlign w:val="center"/>
          </w:tcPr>
          <w:p w14:paraId="63D87C17">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61C151F6">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5D0C3C72">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15921507">
            <w:pPr>
              <w:jc w:val="center"/>
              <w:rPr>
                <w:rFonts w:hint="eastAsia" w:ascii="宋体" w:hAnsi="宋体" w:eastAsia="宋体" w:cs="宋体"/>
                <w:i w:val="0"/>
                <w:iCs w:val="0"/>
                <w:color w:val="000000"/>
                <w:sz w:val="21"/>
                <w:szCs w:val="21"/>
                <w:u w:val="none"/>
              </w:rPr>
            </w:pPr>
          </w:p>
        </w:tc>
      </w:tr>
      <w:tr w14:paraId="696C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503" w:type="dxa"/>
            <w:shd w:val="clear" w:color="auto" w:fill="auto"/>
            <w:vAlign w:val="center"/>
          </w:tcPr>
          <w:p w14:paraId="5408B5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03" w:type="dxa"/>
            <w:shd w:val="clear" w:color="auto" w:fill="auto"/>
            <w:vAlign w:val="center"/>
          </w:tcPr>
          <w:p w14:paraId="41017A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控制系统</w:t>
            </w:r>
          </w:p>
        </w:tc>
        <w:tc>
          <w:tcPr>
            <w:tcW w:w="8049" w:type="dxa"/>
            <w:shd w:val="clear" w:color="auto" w:fill="auto"/>
            <w:vAlign w:val="center"/>
          </w:tcPr>
          <w:p w14:paraId="56809F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输入：HDMI2.0*1，HDMI1.3*2；输出：网口*8</w:t>
            </w:r>
          </w:p>
        </w:tc>
        <w:tc>
          <w:tcPr>
            <w:tcW w:w="806" w:type="dxa"/>
            <w:shd w:val="clear" w:color="auto" w:fill="auto"/>
            <w:vAlign w:val="center"/>
          </w:tcPr>
          <w:p w14:paraId="7116FC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14" w:type="dxa"/>
            <w:shd w:val="clear" w:color="auto" w:fill="auto"/>
            <w:vAlign w:val="center"/>
          </w:tcPr>
          <w:p w14:paraId="3A7F49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54" w:type="dxa"/>
            <w:shd w:val="clear" w:color="auto" w:fill="auto"/>
            <w:vAlign w:val="center"/>
          </w:tcPr>
          <w:p w14:paraId="1C881893">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2DEA9B5D">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7326822D">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7C3A12E3">
            <w:pPr>
              <w:jc w:val="center"/>
              <w:rPr>
                <w:rFonts w:hint="eastAsia" w:ascii="宋体" w:hAnsi="宋体" w:eastAsia="宋体" w:cs="宋体"/>
                <w:i w:val="0"/>
                <w:iCs w:val="0"/>
                <w:color w:val="000000"/>
                <w:sz w:val="21"/>
                <w:szCs w:val="21"/>
                <w:u w:val="none"/>
              </w:rPr>
            </w:pPr>
          </w:p>
        </w:tc>
      </w:tr>
      <w:tr w14:paraId="6547F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5" w:hRule="atLeast"/>
        </w:trPr>
        <w:tc>
          <w:tcPr>
            <w:tcW w:w="503" w:type="dxa"/>
            <w:shd w:val="clear" w:color="auto" w:fill="auto"/>
            <w:vAlign w:val="center"/>
          </w:tcPr>
          <w:p w14:paraId="635E79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03" w:type="dxa"/>
            <w:shd w:val="clear" w:color="auto" w:fill="auto"/>
            <w:vAlign w:val="center"/>
          </w:tcPr>
          <w:p w14:paraId="5D9879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接收卡</w:t>
            </w:r>
          </w:p>
        </w:tc>
        <w:tc>
          <w:tcPr>
            <w:tcW w:w="8049" w:type="dxa"/>
            <w:shd w:val="clear" w:color="auto" w:fill="auto"/>
            <w:vAlign w:val="center"/>
          </w:tcPr>
          <w:p w14:paraId="5CDEF2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接收卡</w:t>
            </w:r>
          </w:p>
        </w:tc>
        <w:tc>
          <w:tcPr>
            <w:tcW w:w="806" w:type="dxa"/>
            <w:shd w:val="clear" w:color="auto" w:fill="auto"/>
            <w:vAlign w:val="center"/>
          </w:tcPr>
          <w:p w14:paraId="623434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514" w:type="dxa"/>
            <w:shd w:val="clear" w:color="auto" w:fill="auto"/>
            <w:vAlign w:val="center"/>
          </w:tcPr>
          <w:p w14:paraId="674E92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754" w:type="dxa"/>
            <w:shd w:val="clear" w:color="auto" w:fill="auto"/>
            <w:vAlign w:val="center"/>
          </w:tcPr>
          <w:p w14:paraId="41CF39A7">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3F2A8C75">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1F74A751">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16DC0B1B">
            <w:pPr>
              <w:jc w:val="center"/>
              <w:rPr>
                <w:rFonts w:hint="eastAsia" w:ascii="宋体" w:hAnsi="宋体" w:eastAsia="宋体" w:cs="宋体"/>
                <w:i w:val="0"/>
                <w:iCs w:val="0"/>
                <w:color w:val="000000"/>
                <w:sz w:val="21"/>
                <w:szCs w:val="21"/>
                <w:u w:val="none"/>
              </w:rPr>
            </w:pPr>
          </w:p>
        </w:tc>
      </w:tr>
      <w:tr w14:paraId="7ACC9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3" w:hRule="atLeast"/>
        </w:trPr>
        <w:tc>
          <w:tcPr>
            <w:tcW w:w="503" w:type="dxa"/>
            <w:shd w:val="clear" w:color="auto" w:fill="auto"/>
            <w:vAlign w:val="center"/>
          </w:tcPr>
          <w:p w14:paraId="006D55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03" w:type="dxa"/>
            <w:shd w:val="clear" w:color="auto" w:fill="auto"/>
            <w:vAlign w:val="center"/>
          </w:tcPr>
          <w:p w14:paraId="58EAAD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框架结构</w:t>
            </w:r>
          </w:p>
        </w:tc>
        <w:tc>
          <w:tcPr>
            <w:tcW w:w="8049" w:type="dxa"/>
            <w:shd w:val="clear" w:color="auto" w:fill="auto"/>
            <w:vAlign w:val="center"/>
          </w:tcPr>
          <w:p w14:paraId="068535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定制不锈钢包边结构</w:t>
            </w:r>
          </w:p>
        </w:tc>
        <w:tc>
          <w:tcPr>
            <w:tcW w:w="806" w:type="dxa"/>
            <w:shd w:val="clear" w:color="auto" w:fill="auto"/>
            <w:vAlign w:val="center"/>
          </w:tcPr>
          <w:p w14:paraId="00D8A1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15.55</w:t>
            </w:r>
          </w:p>
        </w:tc>
        <w:tc>
          <w:tcPr>
            <w:tcW w:w="514" w:type="dxa"/>
            <w:shd w:val="clear" w:color="auto" w:fill="auto"/>
            <w:vAlign w:val="center"/>
          </w:tcPr>
          <w:p w14:paraId="6F7391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754" w:type="dxa"/>
            <w:shd w:val="clear" w:color="auto" w:fill="auto"/>
            <w:vAlign w:val="center"/>
          </w:tcPr>
          <w:p w14:paraId="154DDC5F">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4D375538">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0EE48981">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3FA26B5D">
            <w:pPr>
              <w:jc w:val="center"/>
              <w:rPr>
                <w:rFonts w:hint="eastAsia" w:ascii="宋体" w:hAnsi="宋体" w:eastAsia="宋体" w:cs="宋体"/>
                <w:i w:val="0"/>
                <w:iCs w:val="0"/>
                <w:color w:val="000000"/>
                <w:sz w:val="21"/>
                <w:szCs w:val="21"/>
                <w:u w:val="none"/>
              </w:rPr>
            </w:pPr>
          </w:p>
        </w:tc>
      </w:tr>
      <w:tr w14:paraId="4ABB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3" w:type="dxa"/>
            <w:shd w:val="clear" w:color="auto" w:fill="auto"/>
            <w:vAlign w:val="center"/>
          </w:tcPr>
          <w:p w14:paraId="070D4C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03" w:type="dxa"/>
            <w:shd w:val="clear" w:color="auto" w:fill="auto"/>
            <w:vAlign w:val="center"/>
          </w:tcPr>
          <w:p w14:paraId="6DCB7B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配电柜</w:t>
            </w:r>
          </w:p>
        </w:tc>
        <w:tc>
          <w:tcPr>
            <w:tcW w:w="8049" w:type="dxa"/>
            <w:shd w:val="clear" w:color="auto" w:fill="auto"/>
            <w:vAlign w:val="center"/>
          </w:tcPr>
          <w:p w14:paraId="71C53D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专用20kw智能配电柜</w:t>
            </w:r>
          </w:p>
        </w:tc>
        <w:tc>
          <w:tcPr>
            <w:tcW w:w="806" w:type="dxa"/>
            <w:shd w:val="clear" w:color="auto" w:fill="auto"/>
            <w:vAlign w:val="center"/>
          </w:tcPr>
          <w:p w14:paraId="097CC2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14" w:type="dxa"/>
            <w:shd w:val="clear" w:color="auto" w:fill="auto"/>
            <w:vAlign w:val="center"/>
          </w:tcPr>
          <w:p w14:paraId="13E0C4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54" w:type="dxa"/>
            <w:shd w:val="clear" w:color="auto" w:fill="auto"/>
            <w:vAlign w:val="center"/>
          </w:tcPr>
          <w:p w14:paraId="08777942">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09AA7140">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3C441C1C">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0580CF92">
            <w:pPr>
              <w:jc w:val="center"/>
              <w:rPr>
                <w:rFonts w:hint="eastAsia" w:ascii="宋体" w:hAnsi="宋体" w:eastAsia="宋体" w:cs="宋体"/>
                <w:i w:val="0"/>
                <w:iCs w:val="0"/>
                <w:color w:val="000000"/>
                <w:sz w:val="21"/>
                <w:szCs w:val="21"/>
                <w:u w:val="none"/>
              </w:rPr>
            </w:pPr>
          </w:p>
        </w:tc>
      </w:tr>
      <w:tr w14:paraId="5374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5" w:hRule="atLeast"/>
        </w:trPr>
        <w:tc>
          <w:tcPr>
            <w:tcW w:w="503" w:type="dxa"/>
            <w:shd w:val="clear" w:color="auto" w:fill="auto"/>
            <w:vAlign w:val="center"/>
          </w:tcPr>
          <w:p w14:paraId="475AEE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03" w:type="dxa"/>
            <w:shd w:val="clear" w:color="auto" w:fill="auto"/>
            <w:vAlign w:val="center"/>
          </w:tcPr>
          <w:p w14:paraId="1DDA86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电力电缆</w:t>
            </w:r>
          </w:p>
        </w:tc>
        <w:tc>
          <w:tcPr>
            <w:tcW w:w="8049" w:type="dxa"/>
            <w:shd w:val="clear" w:color="auto" w:fill="auto"/>
            <w:vAlign w:val="center"/>
          </w:tcPr>
          <w:p w14:paraId="64B066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YJV4*25+1*16</w:t>
            </w:r>
          </w:p>
        </w:tc>
        <w:tc>
          <w:tcPr>
            <w:tcW w:w="806" w:type="dxa"/>
            <w:shd w:val="clear" w:color="auto" w:fill="auto"/>
            <w:vAlign w:val="center"/>
          </w:tcPr>
          <w:p w14:paraId="02A9E2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514" w:type="dxa"/>
            <w:shd w:val="clear" w:color="auto" w:fill="auto"/>
            <w:vAlign w:val="center"/>
          </w:tcPr>
          <w:p w14:paraId="5FE284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54" w:type="dxa"/>
            <w:shd w:val="clear" w:color="auto" w:fill="auto"/>
            <w:vAlign w:val="center"/>
          </w:tcPr>
          <w:p w14:paraId="147053E7">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0C4F3DF4">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4676929C">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06C522F7">
            <w:pPr>
              <w:jc w:val="center"/>
              <w:rPr>
                <w:rFonts w:hint="eastAsia" w:ascii="宋体" w:hAnsi="宋体" w:eastAsia="宋体" w:cs="宋体"/>
                <w:i w:val="0"/>
                <w:iCs w:val="0"/>
                <w:color w:val="000000"/>
                <w:sz w:val="21"/>
                <w:szCs w:val="21"/>
                <w:u w:val="none"/>
              </w:rPr>
            </w:pPr>
          </w:p>
        </w:tc>
      </w:tr>
      <w:tr w14:paraId="5795B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3" w:type="dxa"/>
            <w:shd w:val="clear" w:color="auto" w:fill="auto"/>
            <w:vAlign w:val="center"/>
          </w:tcPr>
          <w:p w14:paraId="100A0C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303" w:type="dxa"/>
            <w:shd w:val="clear" w:color="auto" w:fill="auto"/>
            <w:vAlign w:val="center"/>
          </w:tcPr>
          <w:p w14:paraId="40A4B1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网线</w:t>
            </w:r>
          </w:p>
        </w:tc>
        <w:tc>
          <w:tcPr>
            <w:tcW w:w="8049" w:type="dxa"/>
            <w:shd w:val="clear" w:color="auto" w:fill="auto"/>
            <w:vAlign w:val="center"/>
          </w:tcPr>
          <w:p w14:paraId="3F2C1B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CTA6-4*2*0.58</w:t>
            </w:r>
          </w:p>
        </w:tc>
        <w:tc>
          <w:tcPr>
            <w:tcW w:w="806" w:type="dxa"/>
            <w:shd w:val="clear" w:color="auto" w:fill="auto"/>
            <w:vAlign w:val="center"/>
          </w:tcPr>
          <w:p w14:paraId="7B139E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960</w:t>
            </w:r>
          </w:p>
        </w:tc>
        <w:tc>
          <w:tcPr>
            <w:tcW w:w="514" w:type="dxa"/>
            <w:shd w:val="clear" w:color="auto" w:fill="auto"/>
            <w:vAlign w:val="center"/>
          </w:tcPr>
          <w:p w14:paraId="1E4B78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54" w:type="dxa"/>
            <w:shd w:val="clear" w:color="auto" w:fill="auto"/>
            <w:vAlign w:val="center"/>
          </w:tcPr>
          <w:p w14:paraId="65787052">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64E1328D">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6B0C4362">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5CF0B357">
            <w:pPr>
              <w:jc w:val="center"/>
              <w:rPr>
                <w:rFonts w:hint="eastAsia" w:ascii="宋体" w:hAnsi="宋体" w:eastAsia="宋体" w:cs="宋体"/>
                <w:i w:val="0"/>
                <w:iCs w:val="0"/>
                <w:color w:val="000000"/>
                <w:sz w:val="21"/>
                <w:szCs w:val="21"/>
                <w:u w:val="none"/>
              </w:rPr>
            </w:pPr>
          </w:p>
        </w:tc>
      </w:tr>
      <w:tr w14:paraId="7550F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03" w:type="dxa"/>
            <w:shd w:val="clear" w:color="auto" w:fill="auto"/>
            <w:vAlign w:val="center"/>
          </w:tcPr>
          <w:p w14:paraId="7E73B5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303" w:type="dxa"/>
            <w:shd w:val="clear" w:color="auto" w:fill="auto"/>
            <w:vAlign w:val="center"/>
          </w:tcPr>
          <w:p w14:paraId="24A109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电源线</w:t>
            </w:r>
          </w:p>
        </w:tc>
        <w:tc>
          <w:tcPr>
            <w:tcW w:w="8049" w:type="dxa"/>
            <w:shd w:val="clear" w:color="auto" w:fill="auto"/>
            <w:vAlign w:val="center"/>
          </w:tcPr>
          <w:p w14:paraId="2C7C17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YJV3*2.5</w:t>
            </w:r>
          </w:p>
        </w:tc>
        <w:tc>
          <w:tcPr>
            <w:tcW w:w="806" w:type="dxa"/>
            <w:shd w:val="clear" w:color="auto" w:fill="auto"/>
            <w:vAlign w:val="center"/>
          </w:tcPr>
          <w:p w14:paraId="7D65CC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c>
          <w:tcPr>
            <w:tcW w:w="514" w:type="dxa"/>
            <w:shd w:val="clear" w:color="auto" w:fill="auto"/>
            <w:vAlign w:val="center"/>
          </w:tcPr>
          <w:p w14:paraId="6A2F28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54" w:type="dxa"/>
            <w:shd w:val="clear" w:color="auto" w:fill="auto"/>
            <w:vAlign w:val="center"/>
          </w:tcPr>
          <w:p w14:paraId="2DF71241">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6BBA71B8">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2601D693">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4D528976">
            <w:pPr>
              <w:jc w:val="center"/>
              <w:rPr>
                <w:rFonts w:hint="eastAsia" w:ascii="宋体" w:hAnsi="宋体" w:eastAsia="宋体" w:cs="宋体"/>
                <w:i w:val="0"/>
                <w:iCs w:val="0"/>
                <w:color w:val="000000"/>
                <w:sz w:val="21"/>
                <w:szCs w:val="21"/>
                <w:u w:val="none"/>
              </w:rPr>
            </w:pPr>
          </w:p>
        </w:tc>
      </w:tr>
      <w:tr w14:paraId="7D65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503" w:type="dxa"/>
            <w:shd w:val="clear" w:color="auto" w:fill="auto"/>
            <w:vAlign w:val="center"/>
          </w:tcPr>
          <w:p w14:paraId="7396D4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303" w:type="dxa"/>
            <w:shd w:val="clear" w:color="auto" w:fill="auto"/>
            <w:vAlign w:val="center"/>
          </w:tcPr>
          <w:p w14:paraId="4394C7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光纤高清线</w:t>
            </w:r>
          </w:p>
        </w:tc>
        <w:tc>
          <w:tcPr>
            <w:tcW w:w="8049" w:type="dxa"/>
            <w:shd w:val="clear" w:color="auto" w:fill="auto"/>
            <w:vAlign w:val="center"/>
          </w:tcPr>
          <w:p w14:paraId="5F1322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光纤高清线50米</w:t>
            </w:r>
          </w:p>
        </w:tc>
        <w:tc>
          <w:tcPr>
            <w:tcW w:w="806" w:type="dxa"/>
            <w:shd w:val="clear" w:color="auto" w:fill="auto"/>
            <w:vAlign w:val="center"/>
          </w:tcPr>
          <w:p w14:paraId="1DB2C3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14" w:type="dxa"/>
            <w:shd w:val="clear" w:color="auto" w:fill="auto"/>
            <w:vAlign w:val="center"/>
          </w:tcPr>
          <w:p w14:paraId="064774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54" w:type="dxa"/>
            <w:shd w:val="clear" w:color="auto" w:fill="auto"/>
            <w:vAlign w:val="center"/>
          </w:tcPr>
          <w:p w14:paraId="4495273C">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775DC888">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7F879EF1">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15F1D09E">
            <w:pPr>
              <w:jc w:val="center"/>
              <w:rPr>
                <w:rFonts w:hint="eastAsia" w:ascii="宋体" w:hAnsi="宋体" w:eastAsia="宋体" w:cs="宋体"/>
                <w:i w:val="0"/>
                <w:iCs w:val="0"/>
                <w:color w:val="000000"/>
                <w:sz w:val="21"/>
                <w:szCs w:val="21"/>
                <w:u w:val="none"/>
              </w:rPr>
            </w:pPr>
          </w:p>
        </w:tc>
      </w:tr>
      <w:tr w14:paraId="79A42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trPr>
        <w:tc>
          <w:tcPr>
            <w:tcW w:w="503" w:type="dxa"/>
            <w:shd w:val="clear" w:color="auto" w:fill="auto"/>
            <w:vAlign w:val="center"/>
          </w:tcPr>
          <w:p w14:paraId="1E1F96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03" w:type="dxa"/>
            <w:shd w:val="clear" w:color="auto" w:fill="auto"/>
            <w:vAlign w:val="center"/>
          </w:tcPr>
          <w:p w14:paraId="309A1B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桥架</w:t>
            </w:r>
          </w:p>
        </w:tc>
        <w:tc>
          <w:tcPr>
            <w:tcW w:w="8049" w:type="dxa"/>
            <w:shd w:val="clear" w:color="auto" w:fill="auto"/>
            <w:vAlign w:val="center"/>
          </w:tcPr>
          <w:p w14:paraId="1BB00E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不锈钢桥架</w:t>
            </w:r>
          </w:p>
        </w:tc>
        <w:tc>
          <w:tcPr>
            <w:tcW w:w="806" w:type="dxa"/>
            <w:shd w:val="clear" w:color="auto" w:fill="auto"/>
            <w:vAlign w:val="center"/>
          </w:tcPr>
          <w:p w14:paraId="747CFB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514" w:type="dxa"/>
            <w:shd w:val="clear" w:color="auto" w:fill="auto"/>
            <w:vAlign w:val="center"/>
          </w:tcPr>
          <w:p w14:paraId="1FA126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54" w:type="dxa"/>
            <w:shd w:val="clear" w:color="auto" w:fill="auto"/>
            <w:vAlign w:val="center"/>
          </w:tcPr>
          <w:p w14:paraId="208DF773">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29C2B57B">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60F7675D">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488F22C1">
            <w:pPr>
              <w:jc w:val="center"/>
              <w:rPr>
                <w:rFonts w:hint="eastAsia" w:ascii="宋体" w:hAnsi="宋体" w:eastAsia="宋体" w:cs="宋体"/>
                <w:i w:val="0"/>
                <w:iCs w:val="0"/>
                <w:color w:val="000000"/>
                <w:sz w:val="21"/>
                <w:szCs w:val="21"/>
                <w:u w:val="none"/>
              </w:rPr>
            </w:pPr>
          </w:p>
        </w:tc>
      </w:tr>
      <w:tr w14:paraId="2D163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4686" w:type="dxa"/>
            <w:gridSpan w:val="9"/>
            <w:shd w:val="clear" w:color="auto" w:fill="auto"/>
            <w:noWrap/>
            <w:vAlign w:val="center"/>
          </w:tcPr>
          <w:p w14:paraId="47458867">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A、扩声系统</w:t>
            </w:r>
          </w:p>
        </w:tc>
      </w:tr>
      <w:tr w14:paraId="36A08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503" w:type="dxa"/>
            <w:shd w:val="clear" w:color="auto" w:fill="auto"/>
            <w:noWrap/>
            <w:vAlign w:val="center"/>
          </w:tcPr>
          <w:p w14:paraId="6AFFA3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03" w:type="dxa"/>
            <w:shd w:val="clear" w:color="auto" w:fill="auto"/>
            <w:vAlign w:val="center"/>
          </w:tcPr>
          <w:p w14:paraId="75A953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主音箱</w:t>
            </w:r>
          </w:p>
        </w:tc>
        <w:tc>
          <w:tcPr>
            <w:tcW w:w="8049" w:type="dxa"/>
            <w:shd w:val="clear" w:color="auto" w:fill="auto"/>
            <w:vAlign w:val="center"/>
          </w:tcPr>
          <w:p w14:paraId="3AE97D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1.阻抗≤8Ω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2.频响等同或优于60Hz~20KHz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3.额定功率≥200W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4.灵敏度≥96dB/W/M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5.水平覆盖角≥80°，垂直覆盖角≥60°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6.高音≥1.4"压缩高音单元×1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7.低音≥8"低音×1</w:t>
            </w:r>
          </w:p>
        </w:tc>
        <w:tc>
          <w:tcPr>
            <w:tcW w:w="806" w:type="dxa"/>
            <w:shd w:val="clear" w:color="auto" w:fill="auto"/>
            <w:noWrap/>
            <w:vAlign w:val="center"/>
          </w:tcPr>
          <w:p w14:paraId="7C2B4B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14" w:type="dxa"/>
            <w:shd w:val="clear" w:color="auto" w:fill="auto"/>
            <w:vAlign w:val="center"/>
          </w:tcPr>
          <w:p w14:paraId="38C287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54" w:type="dxa"/>
            <w:shd w:val="clear" w:color="auto" w:fill="auto"/>
            <w:vAlign w:val="center"/>
          </w:tcPr>
          <w:p w14:paraId="66E85C39">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5E538456">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2D70DE0B">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7748D116">
            <w:pPr>
              <w:jc w:val="center"/>
              <w:rPr>
                <w:rFonts w:hint="eastAsia" w:ascii="宋体" w:hAnsi="宋体" w:eastAsia="宋体" w:cs="宋体"/>
                <w:i w:val="0"/>
                <w:iCs w:val="0"/>
                <w:color w:val="000000"/>
                <w:sz w:val="21"/>
                <w:szCs w:val="21"/>
                <w:u w:val="none"/>
              </w:rPr>
            </w:pPr>
          </w:p>
        </w:tc>
      </w:tr>
      <w:tr w14:paraId="1A7F1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03" w:type="dxa"/>
            <w:shd w:val="clear" w:color="auto" w:fill="auto"/>
            <w:noWrap/>
            <w:vAlign w:val="center"/>
          </w:tcPr>
          <w:p w14:paraId="665437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03" w:type="dxa"/>
            <w:shd w:val="clear" w:color="auto" w:fill="auto"/>
            <w:vAlign w:val="center"/>
          </w:tcPr>
          <w:p w14:paraId="1C76FE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壁挂安装</w:t>
            </w:r>
          </w:p>
        </w:tc>
        <w:tc>
          <w:tcPr>
            <w:tcW w:w="8049" w:type="dxa"/>
            <w:shd w:val="clear" w:color="auto" w:fill="auto"/>
            <w:vAlign w:val="center"/>
          </w:tcPr>
          <w:p w14:paraId="4FF566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音箱支架</w:t>
            </w:r>
          </w:p>
        </w:tc>
        <w:tc>
          <w:tcPr>
            <w:tcW w:w="806" w:type="dxa"/>
            <w:shd w:val="clear" w:color="auto" w:fill="auto"/>
            <w:noWrap/>
            <w:vAlign w:val="center"/>
          </w:tcPr>
          <w:p w14:paraId="296CBC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14" w:type="dxa"/>
            <w:shd w:val="clear" w:color="auto" w:fill="auto"/>
            <w:vAlign w:val="center"/>
          </w:tcPr>
          <w:p w14:paraId="30AA15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54" w:type="dxa"/>
            <w:shd w:val="clear" w:color="auto" w:fill="auto"/>
            <w:vAlign w:val="center"/>
          </w:tcPr>
          <w:p w14:paraId="6C67C9CE">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25F5737B">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079015F5">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4EB5EEB8">
            <w:pPr>
              <w:jc w:val="center"/>
              <w:rPr>
                <w:rFonts w:hint="eastAsia" w:ascii="宋体" w:hAnsi="宋体" w:eastAsia="宋体" w:cs="宋体"/>
                <w:i w:val="0"/>
                <w:iCs w:val="0"/>
                <w:color w:val="000000"/>
                <w:sz w:val="21"/>
                <w:szCs w:val="21"/>
                <w:u w:val="none"/>
              </w:rPr>
            </w:pPr>
          </w:p>
        </w:tc>
      </w:tr>
      <w:tr w14:paraId="7037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3" w:type="dxa"/>
            <w:shd w:val="clear" w:color="auto" w:fill="auto"/>
            <w:noWrap/>
            <w:vAlign w:val="center"/>
          </w:tcPr>
          <w:p w14:paraId="1D7743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03" w:type="dxa"/>
            <w:shd w:val="clear" w:color="auto" w:fill="auto"/>
            <w:vAlign w:val="center"/>
          </w:tcPr>
          <w:p w14:paraId="48DADB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吸顶音箱</w:t>
            </w:r>
          </w:p>
        </w:tc>
        <w:tc>
          <w:tcPr>
            <w:tcW w:w="8049" w:type="dxa"/>
            <w:shd w:val="clear" w:color="auto" w:fill="auto"/>
            <w:vAlign w:val="center"/>
          </w:tcPr>
          <w:p w14:paraId="2DC637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1.喇叭单元:6.5"低音+19mm(3/4")高音同轴扬声器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2.阻抗：≤16Ω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3.频率响应等同或优于100Hzto20kHz@-10dB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4.最大声压级：≥106dB±3dB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5.灵敏度：≥88dB±3dB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6.额定功率≥60W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7.最大功率≥120W</w:t>
            </w:r>
            <w:bookmarkStart w:id="59" w:name="_GoBack"/>
            <w:bookmarkEnd w:id="59"/>
          </w:p>
        </w:tc>
        <w:tc>
          <w:tcPr>
            <w:tcW w:w="806" w:type="dxa"/>
            <w:shd w:val="clear" w:color="auto" w:fill="auto"/>
            <w:noWrap/>
            <w:vAlign w:val="center"/>
          </w:tcPr>
          <w:p w14:paraId="7E4D72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14" w:type="dxa"/>
            <w:shd w:val="clear" w:color="auto" w:fill="auto"/>
            <w:vAlign w:val="center"/>
          </w:tcPr>
          <w:p w14:paraId="740E49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54" w:type="dxa"/>
            <w:shd w:val="clear" w:color="auto" w:fill="auto"/>
            <w:vAlign w:val="center"/>
          </w:tcPr>
          <w:p w14:paraId="024C2D94">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2AFAA05E">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0D161DA1">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1A211390">
            <w:pPr>
              <w:jc w:val="center"/>
              <w:rPr>
                <w:rFonts w:hint="eastAsia" w:ascii="宋体" w:hAnsi="宋体" w:eastAsia="宋体" w:cs="宋体"/>
                <w:i w:val="0"/>
                <w:iCs w:val="0"/>
                <w:color w:val="000000"/>
                <w:sz w:val="21"/>
                <w:szCs w:val="21"/>
                <w:u w:val="none"/>
              </w:rPr>
            </w:pPr>
          </w:p>
        </w:tc>
      </w:tr>
      <w:tr w14:paraId="34598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trPr>
        <w:tc>
          <w:tcPr>
            <w:tcW w:w="503" w:type="dxa"/>
            <w:shd w:val="clear" w:color="auto" w:fill="auto"/>
            <w:noWrap/>
            <w:vAlign w:val="center"/>
          </w:tcPr>
          <w:p w14:paraId="458417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03" w:type="dxa"/>
            <w:shd w:val="clear" w:color="auto" w:fill="auto"/>
            <w:vAlign w:val="center"/>
          </w:tcPr>
          <w:p w14:paraId="30A8AD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主音箱功放</w:t>
            </w:r>
          </w:p>
        </w:tc>
        <w:tc>
          <w:tcPr>
            <w:tcW w:w="8049" w:type="dxa"/>
            <w:shd w:val="clear" w:color="auto" w:fill="auto"/>
            <w:vAlign w:val="center"/>
          </w:tcPr>
          <w:p w14:paraId="5FF024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1.标准≤1U机箱设计，采用D类数字功放设计方案。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2.标准XLR输入接口，和LINK输出口。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3.电源采用开关电源技术，效率高，有效的抑制电源谐波。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4.内置智能削峰限幅器，支持开机软启动，防止开机时向电网吸收大电流，干扰其它用电设备。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5.具有：过压保护，欠压保护，过流保护，直流保护，输出短路保护，温控风扇等功能。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6.输出功率：立体声@8Ω：≥350W×2；立体声@4Ω：≥600W×2。</w:t>
            </w:r>
          </w:p>
        </w:tc>
        <w:tc>
          <w:tcPr>
            <w:tcW w:w="806" w:type="dxa"/>
            <w:shd w:val="clear" w:color="auto" w:fill="auto"/>
            <w:noWrap/>
            <w:vAlign w:val="center"/>
          </w:tcPr>
          <w:p w14:paraId="7A4911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14" w:type="dxa"/>
            <w:shd w:val="clear" w:color="auto" w:fill="auto"/>
            <w:vAlign w:val="center"/>
          </w:tcPr>
          <w:p w14:paraId="5426F6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54" w:type="dxa"/>
            <w:shd w:val="clear" w:color="auto" w:fill="auto"/>
            <w:vAlign w:val="center"/>
          </w:tcPr>
          <w:p w14:paraId="101F27DD">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3CB2E3F9">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7CBFCA93">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0E188E53">
            <w:pPr>
              <w:jc w:val="center"/>
              <w:rPr>
                <w:rFonts w:hint="eastAsia" w:ascii="宋体" w:hAnsi="宋体" w:eastAsia="宋体" w:cs="宋体"/>
                <w:i w:val="0"/>
                <w:iCs w:val="0"/>
                <w:color w:val="000000"/>
                <w:sz w:val="21"/>
                <w:szCs w:val="21"/>
                <w:u w:val="none"/>
              </w:rPr>
            </w:pPr>
          </w:p>
        </w:tc>
      </w:tr>
      <w:tr w14:paraId="6C3D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trPr>
        <w:tc>
          <w:tcPr>
            <w:tcW w:w="503" w:type="dxa"/>
            <w:shd w:val="clear" w:color="auto" w:fill="auto"/>
            <w:noWrap/>
            <w:vAlign w:val="center"/>
          </w:tcPr>
          <w:p w14:paraId="139AE9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03" w:type="dxa"/>
            <w:shd w:val="clear" w:color="auto" w:fill="auto"/>
            <w:vAlign w:val="center"/>
          </w:tcPr>
          <w:p w14:paraId="28701F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吸顶音箱功放</w:t>
            </w:r>
          </w:p>
        </w:tc>
        <w:tc>
          <w:tcPr>
            <w:tcW w:w="8049" w:type="dxa"/>
            <w:shd w:val="clear" w:color="auto" w:fill="auto"/>
            <w:vAlign w:val="center"/>
          </w:tcPr>
          <w:p w14:paraId="791C58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1.采用高效功率放大电路，输出可桥接8欧。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2.电源采用开关电源供电，具有过压保护功能。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3.功放具有压限，过温保护，过流保护，输出直流保护，输出短路保护等功能。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4.支持XLR平衡式输入，SPEAKON音响插座输出。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5.MONO /STEREO/BRIDGE三种模式可选择切换。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6.常规带载8Ω，最低带载4Ω。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7.输出功率：立体声8Ω ：≥200W×4；立体声4Ω：≥380W×4；桥接8Ω：≥760W×2</w:t>
            </w:r>
          </w:p>
        </w:tc>
        <w:tc>
          <w:tcPr>
            <w:tcW w:w="806" w:type="dxa"/>
            <w:shd w:val="clear" w:color="auto" w:fill="auto"/>
            <w:noWrap/>
            <w:vAlign w:val="center"/>
          </w:tcPr>
          <w:p w14:paraId="22708D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14" w:type="dxa"/>
            <w:shd w:val="clear" w:color="auto" w:fill="auto"/>
            <w:vAlign w:val="center"/>
          </w:tcPr>
          <w:p w14:paraId="2B58F7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54" w:type="dxa"/>
            <w:shd w:val="clear" w:color="auto" w:fill="auto"/>
            <w:vAlign w:val="center"/>
          </w:tcPr>
          <w:p w14:paraId="3CD04CAF">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49073274">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3BE6B5A2">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58F97323">
            <w:pPr>
              <w:jc w:val="center"/>
              <w:rPr>
                <w:rFonts w:hint="eastAsia" w:ascii="宋体" w:hAnsi="宋体" w:eastAsia="宋体" w:cs="宋体"/>
                <w:i w:val="0"/>
                <w:iCs w:val="0"/>
                <w:color w:val="000000"/>
                <w:sz w:val="21"/>
                <w:szCs w:val="21"/>
                <w:u w:val="none"/>
              </w:rPr>
            </w:pPr>
          </w:p>
        </w:tc>
      </w:tr>
      <w:tr w14:paraId="01B5A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95" w:hRule="atLeast"/>
        </w:trPr>
        <w:tc>
          <w:tcPr>
            <w:tcW w:w="503" w:type="dxa"/>
            <w:shd w:val="clear" w:color="auto" w:fill="auto"/>
            <w:noWrap/>
            <w:vAlign w:val="center"/>
          </w:tcPr>
          <w:p w14:paraId="15F4E6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03" w:type="dxa"/>
            <w:shd w:val="clear" w:color="auto" w:fill="auto"/>
            <w:vAlign w:val="center"/>
          </w:tcPr>
          <w:p w14:paraId="10849A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YPCLR智享音频处理器VN.XH52378</w:t>
            </w:r>
          </w:p>
        </w:tc>
        <w:tc>
          <w:tcPr>
            <w:tcW w:w="8049" w:type="dxa"/>
            <w:shd w:val="clear" w:color="auto" w:fill="auto"/>
            <w:vAlign w:val="center"/>
          </w:tcPr>
          <w:p w14:paraId="7D8C0DF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输入通道支持前级放大、信号发生器、扩展器、压缩器、均衡器（≥12段参量均衡、可选10/15/31段图示均衡器可调，图示均衡器可用于单独调节带宽）、闪避器、AGC自动增益、AM自动混音功能（门限式、增益共享式）、AFC自适应反馈消除、AEC回声消除、ANC噪声消除、音频矩阵；输出通道支持均衡器（≥16段参量均衡、可选10/15/31段图示均衡器可调，图示均衡器可用于单独调节带宽）、延时器、分频器、高低通滤波器、限幅器；基于啸叫检测门限更新法，具有移频+陷波组合反馈抑制，可以使用≥24个可编程陷波点，可自由分配动态/静态点，自动/手动切换。（提供功能截图佐证）</w:t>
            </w:r>
          </w:p>
          <w:p w14:paraId="26F663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用AI人工智能宽度学习算法进行噪声抑制，根据不同使用场景提供≥三个AI语音降噪档位可调整，有效降低甚至消除语言扩声系统中非人声类噪音信号，如拍掌、敲击桌子等非稳态噪声以及空调声、风扇声等稳态噪声，确保语音清晰度和可懂度（降噪能力≥40dB）。</w:t>
            </w:r>
          </w:p>
        </w:tc>
        <w:tc>
          <w:tcPr>
            <w:tcW w:w="806" w:type="dxa"/>
            <w:shd w:val="clear" w:color="auto" w:fill="auto"/>
            <w:noWrap/>
            <w:vAlign w:val="center"/>
          </w:tcPr>
          <w:p w14:paraId="0E875C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14" w:type="dxa"/>
            <w:shd w:val="clear" w:color="auto" w:fill="auto"/>
            <w:vAlign w:val="center"/>
          </w:tcPr>
          <w:p w14:paraId="749724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54" w:type="dxa"/>
            <w:shd w:val="clear" w:color="auto" w:fill="auto"/>
            <w:vAlign w:val="center"/>
          </w:tcPr>
          <w:p w14:paraId="6CE67189">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319A5C35">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3C9D2F97">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6FD307FD">
            <w:pPr>
              <w:jc w:val="center"/>
              <w:rPr>
                <w:rFonts w:hint="eastAsia" w:ascii="宋体" w:hAnsi="宋体" w:eastAsia="宋体" w:cs="宋体"/>
                <w:i w:val="0"/>
                <w:iCs w:val="0"/>
                <w:color w:val="000000"/>
                <w:sz w:val="21"/>
                <w:szCs w:val="21"/>
                <w:u w:val="none"/>
              </w:rPr>
            </w:pPr>
          </w:p>
        </w:tc>
      </w:tr>
      <w:tr w14:paraId="492AF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0" w:hRule="atLeast"/>
        </w:trPr>
        <w:tc>
          <w:tcPr>
            <w:tcW w:w="503" w:type="dxa"/>
            <w:shd w:val="clear" w:color="auto" w:fill="auto"/>
            <w:noWrap/>
            <w:vAlign w:val="center"/>
          </w:tcPr>
          <w:p w14:paraId="19E226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303" w:type="dxa"/>
            <w:shd w:val="clear" w:color="auto" w:fill="auto"/>
            <w:vAlign w:val="center"/>
          </w:tcPr>
          <w:p w14:paraId="1039E9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抑制器</w:t>
            </w:r>
          </w:p>
        </w:tc>
        <w:tc>
          <w:tcPr>
            <w:tcW w:w="8049" w:type="dxa"/>
            <w:shd w:val="clear" w:color="auto" w:fill="auto"/>
            <w:vAlign w:val="center"/>
          </w:tcPr>
          <w:p w14:paraId="2AC2B1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前面板具有≥48个LED灯陷波状态指示灯（具有≥2×12个静态点和≥2×12个动态点）、≥2英寸IPS真彩显示屏、≥1个编码旋钮；后面板具有≥1个船形开关、≥2路XLR母座+2路TRS母座模拟输入、≥2路XLR公座+2路TRS母座模拟输出、≥1个RJ45接口。（提供设备接口图佐证）</w:t>
            </w:r>
          </w:p>
        </w:tc>
        <w:tc>
          <w:tcPr>
            <w:tcW w:w="806" w:type="dxa"/>
            <w:shd w:val="clear" w:color="auto" w:fill="auto"/>
            <w:noWrap/>
            <w:vAlign w:val="center"/>
          </w:tcPr>
          <w:p w14:paraId="6EDAD9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14" w:type="dxa"/>
            <w:shd w:val="clear" w:color="auto" w:fill="auto"/>
            <w:vAlign w:val="center"/>
          </w:tcPr>
          <w:p w14:paraId="58AE4B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54" w:type="dxa"/>
            <w:shd w:val="clear" w:color="auto" w:fill="auto"/>
            <w:vAlign w:val="center"/>
          </w:tcPr>
          <w:p w14:paraId="08D29558">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2318CD3A">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64763127">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2B102351">
            <w:pPr>
              <w:jc w:val="center"/>
              <w:rPr>
                <w:rFonts w:hint="eastAsia" w:ascii="宋体" w:hAnsi="宋体" w:eastAsia="宋体" w:cs="宋体"/>
                <w:i w:val="0"/>
                <w:iCs w:val="0"/>
                <w:color w:val="000000"/>
                <w:sz w:val="21"/>
                <w:szCs w:val="21"/>
                <w:u w:val="none"/>
              </w:rPr>
            </w:pPr>
          </w:p>
        </w:tc>
      </w:tr>
      <w:tr w14:paraId="2E2B1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03" w:type="dxa"/>
            <w:shd w:val="clear" w:color="auto" w:fill="auto"/>
            <w:noWrap/>
            <w:vAlign w:val="center"/>
          </w:tcPr>
          <w:p w14:paraId="0A622B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303" w:type="dxa"/>
            <w:shd w:val="clear" w:color="auto" w:fill="auto"/>
            <w:vAlign w:val="center"/>
          </w:tcPr>
          <w:p w14:paraId="7C3538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调音台</w:t>
            </w:r>
          </w:p>
        </w:tc>
        <w:tc>
          <w:tcPr>
            <w:tcW w:w="8049" w:type="dxa"/>
            <w:shd w:val="clear" w:color="auto" w:fill="auto"/>
            <w:vAlign w:val="center"/>
          </w:tcPr>
          <w:p w14:paraId="2C719F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1.支持≥10路MIC输入兼容8路线路输入接口，支持≥2组立体声输入接口，≥4路RCA输入，话筒接口幻象电源：+48V。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2.具有≥2组立体声输出、≥4路编组输出、≥4路辅助输出、≥1个耳机监听输出、≥1个接口双路效果输出、≥1组控制室输出、≥1组主混音断点插入、≥8个断点插入。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3.内置≥24位DSP效果器，提供≥100种预设效果。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4.具备≥15个60mm行程的高精密碳膜推子。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5.内置USB声卡模块，支持连接电脑进行音乐播放和声音录音；内置MP3播放器，支持≥1个USB接口接U盘播放音乐。</w:t>
            </w:r>
          </w:p>
        </w:tc>
        <w:tc>
          <w:tcPr>
            <w:tcW w:w="806" w:type="dxa"/>
            <w:shd w:val="clear" w:color="auto" w:fill="auto"/>
            <w:noWrap/>
            <w:vAlign w:val="center"/>
          </w:tcPr>
          <w:p w14:paraId="3281C2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14" w:type="dxa"/>
            <w:shd w:val="clear" w:color="auto" w:fill="auto"/>
            <w:vAlign w:val="center"/>
          </w:tcPr>
          <w:p w14:paraId="19D1DF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54" w:type="dxa"/>
            <w:shd w:val="clear" w:color="auto" w:fill="auto"/>
            <w:vAlign w:val="center"/>
          </w:tcPr>
          <w:p w14:paraId="5FECD9C1">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2477EBC5">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32D18E7E">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4F51E858">
            <w:pPr>
              <w:jc w:val="center"/>
              <w:rPr>
                <w:rFonts w:hint="eastAsia" w:ascii="宋体" w:hAnsi="宋体" w:eastAsia="宋体" w:cs="宋体"/>
                <w:i w:val="0"/>
                <w:iCs w:val="0"/>
                <w:color w:val="000000"/>
                <w:sz w:val="21"/>
                <w:szCs w:val="21"/>
                <w:u w:val="none"/>
              </w:rPr>
            </w:pPr>
          </w:p>
        </w:tc>
      </w:tr>
      <w:tr w14:paraId="1D2D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35" w:hRule="atLeast"/>
        </w:trPr>
        <w:tc>
          <w:tcPr>
            <w:tcW w:w="503" w:type="dxa"/>
            <w:shd w:val="clear" w:color="auto" w:fill="auto"/>
            <w:noWrap/>
            <w:vAlign w:val="center"/>
          </w:tcPr>
          <w:p w14:paraId="1C0E23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303" w:type="dxa"/>
            <w:shd w:val="clear" w:color="auto" w:fill="auto"/>
            <w:vAlign w:val="center"/>
          </w:tcPr>
          <w:p w14:paraId="7E02B0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话筒天线</w:t>
            </w:r>
          </w:p>
        </w:tc>
        <w:tc>
          <w:tcPr>
            <w:tcW w:w="8049" w:type="dxa"/>
            <w:shd w:val="clear" w:color="auto" w:fill="auto"/>
            <w:vAlign w:val="center"/>
          </w:tcPr>
          <w:p w14:paraId="2DB325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1.采用吸顶安装，射频频率范围等同或宽于470MHz～950MHz；具有≥五档位（0dB/3dB/6dB/12dB/15dB)增益设置。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2.驻波比：≤2.0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3.输入阻抗：≤50Ω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4.指向性（水平）：≥120°</w:t>
            </w:r>
          </w:p>
        </w:tc>
        <w:tc>
          <w:tcPr>
            <w:tcW w:w="806" w:type="dxa"/>
            <w:shd w:val="clear" w:color="auto" w:fill="auto"/>
            <w:noWrap/>
            <w:vAlign w:val="center"/>
          </w:tcPr>
          <w:p w14:paraId="6B8FD2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14" w:type="dxa"/>
            <w:shd w:val="clear" w:color="auto" w:fill="auto"/>
            <w:vAlign w:val="center"/>
          </w:tcPr>
          <w:p w14:paraId="098A3B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54" w:type="dxa"/>
            <w:shd w:val="clear" w:color="auto" w:fill="auto"/>
            <w:vAlign w:val="center"/>
          </w:tcPr>
          <w:p w14:paraId="75808206">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3C84274C">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7F15025E">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51D0E1B2">
            <w:pPr>
              <w:jc w:val="center"/>
              <w:rPr>
                <w:rFonts w:hint="eastAsia" w:ascii="宋体" w:hAnsi="宋体" w:eastAsia="宋体" w:cs="宋体"/>
                <w:i w:val="0"/>
                <w:iCs w:val="0"/>
                <w:color w:val="000000"/>
                <w:sz w:val="21"/>
                <w:szCs w:val="21"/>
                <w:u w:val="none"/>
              </w:rPr>
            </w:pPr>
          </w:p>
        </w:tc>
      </w:tr>
      <w:tr w14:paraId="1CE0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2" w:hRule="atLeast"/>
        </w:trPr>
        <w:tc>
          <w:tcPr>
            <w:tcW w:w="503" w:type="dxa"/>
            <w:shd w:val="clear" w:color="auto" w:fill="auto"/>
            <w:noWrap/>
            <w:vAlign w:val="center"/>
          </w:tcPr>
          <w:p w14:paraId="55ECAB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03" w:type="dxa"/>
            <w:shd w:val="clear" w:color="auto" w:fill="FFFFFF"/>
            <w:vAlign w:val="center"/>
          </w:tcPr>
          <w:p w14:paraId="063A26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天线耦合器</w:t>
            </w:r>
          </w:p>
        </w:tc>
        <w:tc>
          <w:tcPr>
            <w:tcW w:w="8049" w:type="dxa"/>
            <w:shd w:val="clear" w:color="auto" w:fill="auto"/>
            <w:vAlign w:val="center"/>
          </w:tcPr>
          <w:p w14:paraId="5A388D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1.宽带设计，在应用频率范围内提供高隔离度，防止信号相互干扰。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2.在系统中，通过此耦合器方便转接和安装。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3.可使用多组耦合器进行拓展覆盖区域。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4.耦合器在线路中有隔离杂讯的功能，防止自激。</w:t>
            </w:r>
          </w:p>
        </w:tc>
        <w:tc>
          <w:tcPr>
            <w:tcW w:w="806" w:type="dxa"/>
            <w:shd w:val="clear" w:color="auto" w:fill="FFFFFF"/>
            <w:noWrap/>
            <w:vAlign w:val="center"/>
          </w:tcPr>
          <w:p w14:paraId="60AB89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14" w:type="dxa"/>
            <w:shd w:val="clear" w:color="auto" w:fill="FFFFFF"/>
            <w:vAlign w:val="center"/>
          </w:tcPr>
          <w:p w14:paraId="1BACA6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54" w:type="dxa"/>
            <w:shd w:val="clear" w:color="auto" w:fill="FFFFFF"/>
            <w:vAlign w:val="center"/>
          </w:tcPr>
          <w:p w14:paraId="7E0FED96">
            <w:pPr>
              <w:jc w:val="center"/>
              <w:rPr>
                <w:rFonts w:hint="eastAsia" w:ascii="宋体" w:hAnsi="宋体" w:eastAsia="宋体" w:cs="宋体"/>
                <w:i w:val="0"/>
                <w:iCs w:val="0"/>
                <w:color w:val="000000"/>
                <w:sz w:val="21"/>
                <w:szCs w:val="21"/>
                <w:u w:val="none"/>
              </w:rPr>
            </w:pPr>
          </w:p>
        </w:tc>
        <w:tc>
          <w:tcPr>
            <w:tcW w:w="900" w:type="dxa"/>
            <w:shd w:val="clear" w:color="auto" w:fill="FFFFFF"/>
            <w:vAlign w:val="center"/>
          </w:tcPr>
          <w:p w14:paraId="7482D0C6">
            <w:pPr>
              <w:jc w:val="center"/>
              <w:rPr>
                <w:rFonts w:hint="eastAsia" w:ascii="宋体" w:hAnsi="宋体" w:eastAsia="宋体" w:cs="宋体"/>
                <w:i w:val="0"/>
                <w:iCs w:val="0"/>
                <w:color w:val="000000"/>
                <w:sz w:val="21"/>
                <w:szCs w:val="21"/>
                <w:u w:val="none"/>
              </w:rPr>
            </w:pPr>
          </w:p>
        </w:tc>
        <w:tc>
          <w:tcPr>
            <w:tcW w:w="1080" w:type="dxa"/>
            <w:shd w:val="clear" w:color="auto" w:fill="FFFFFF"/>
            <w:vAlign w:val="center"/>
          </w:tcPr>
          <w:p w14:paraId="35E006E0">
            <w:pPr>
              <w:jc w:val="center"/>
              <w:rPr>
                <w:rFonts w:hint="eastAsia" w:ascii="宋体" w:hAnsi="宋体" w:eastAsia="宋体" w:cs="宋体"/>
                <w:i w:val="0"/>
                <w:iCs w:val="0"/>
                <w:color w:val="000000"/>
                <w:sz w:val="21"/>
                <w:szCs w:val="21"/>
                <w:u w:val="none"/>
              </w:rPr>
            </w:pPr>
          </w:p>
        </w:tc>
        <w:tc>
          <w:tcPr>
            <w:tcW w:w="777" w:type="dxa"/>
            <w:shd w:val="clear" w:color="auto" w:fill="FFFFFF"/>
            <w:vAlign w:val="center"/>
          </w:tcPr>
          <w:p w14:paraId="4A790A50">
            <w:pPr>
              <w:jc w:val="center"/>
              <w:rPr>
                <w:rFonts w:hint="eastAsia" w:ascii="宋体" w:hAnsi="宋体" w:eastAsia="宋体" w:cs="宋体"/>
                <w:i w:val="0"/>
                <w:iCs w:val="0"/>
                <w:color w:val="000000"/>
                <w:sz w:val="21"/>
                <w:szCs w:val="21"/>
                <w:u w:val="none"/>
              </w:rPr>
            </w:pPr>
          </w:p>
        </w:tc>
      </w:tr>
      <w:tr w14:paraId="2F3B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rPr>
        <w:tc>
          <w:tcPr>
            <w:tcW w:w="503" w:type="dxa"/>
            <w:shd w:val="clear" w:color="auto" w:fill="auto"/>
            <w:noWrap/>
            <w:vAlign w:val="center"/>
          </w:tcPr>
          <w:p w14:paraId="444F0F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303" w:type="dxa"/>
            <w:shd w:val="clear" w:color="auto" w:fill="FFFFFF"/>
            <w:vAlign w:val="center"/>
          </w:tcPr>
          <w:p w14:paraId="08768D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天线分配器</w:t>
            </w:r>
          </w:p>
        </w:tc>
        <w:tc>
          <w:tcPr>
            <w:tcW w:w="8049" w:type="dxa"/>
            <w:shd w:val="clear" w:color="auto" w:fill="auto"/>
            <w:vAlign w:val="center"/>
          </w:tcPr>
          <w:p w14:paraId="68A2E5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1.具备≥2个天线输入接口，支持接收天线信号，实现分配多路射频信号的效果。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2.具备放大射频信号，补偿因信号功率被分配至多个输出而造成的插入损耗。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3.具备≥2个天线级联接口，支持无限制级联分配器，可实现扩展无线话筒的目的。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4.具备≥4个直流电源输出接口，支持给≥4台接收机供电，减少适配器数量和免去繁琐布线。</w:t>
            </w:r>
          </w:p>
        </w:tc>
        <w:tc>
          <w:tcPr>
            <w:tcW w:w="806" w:type="dxa"/>
            <w:shd w:val="clear" w:color="auto" w:fill="FFFFFF"/>
            <w:noWrap/>
            <w:vAlign w:val="center"/>
          </w:tcPr>
          <w:p w14:paraId="58B011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14" w:type="dxa"/>
            <w:shd w:val="clear" w:color="auto" w:fill="FFFFFF"/>
            <w:vAlign w:val="center"/>
          </w:tcPr>
          <w:p w14:paraId="42464C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54" w:type="dxa"/>
            <w:shd w:val="clear" w:color="auto" w:fill="FFFFFF"/>
            <w:vAlign w:val="center"/>
          </w:tcPr>
          <w:p w14:paraId="5B11F82C">
            <w:pPr>
              <w:jc w:val="center"/>
              <w:rPr>
                <w:rFonts w:hint="eastAsia" w:ascii="宋体" w:hAnsi="宋体" w:eastAsia="宋体" w:cs="宋体"/>
                <w:i w:val="0"/>
                <w:iCs w:val="0"/>
                <w:color w:val="000000"/>
                <w:sz w:val="21"/>
                <w:szCs w:val="21"/>
                <w:u w:val="none"/>
              </w:rPr>
            </w:pPr>
          </w:p>
        </w:tc>
        <w:tc>
          <w:tcPr>
            <w:tcW w:w="900" w:type="dxa"/>
            <w:shd w:val="clear" w:color="auto" w:fill="FFFFFF"/>
            <w:vAlign w:val="center"/>
          </w:tcPr>
          <w:p w14:paraId="5CEEF03E">
            <w:pPr>
              <w:jc w:val="center"/>
              <w:rPr>
                <w:rFonts w:hint="eastAsia" w:ascii="宋体" w:hAnsi="宋体" w:eastAsia="宋体" w:cs="宋体"/>
                <w:i w:val="0"/>
                <w:iCs w:val="0"/>
                <w:color w:val="000000"/>
                <w:sz w:val="21"/>
                <w:szCs w:val="21"/>
                <w:u w:val="none"/>
              </w:rPr>
            </w:pPr>
          </w:p>
        </w:tc>
        <w:tc>
          <w:tcPr>
            <w:tcW w:w="1080" w:type="dxa"/>
            <w:shd w:val="clear" w:color="auto" w:fill="FFFFFF"/>
            <w:vAlign w:val="center"/>
          </w:tcPr>
          <w:p w14:paraId="78E4A55C">
            <w:pPr>
              <w:jc w:val="center"/>
              <w:rPr>
                <w:rFonts w:hint="eastAsia" w:ascii="宋体" w:hAnsi="宋体" w:eastAsia="宋体" w:cs="宋体"/>
                <w:i w:val="0"/>
                <w:iCs w:val="0"/>
                <w:color w:val="000000"/>
                <w:sz w:val="21"/>
                <w:szCs w:val="21"/>
                <w:u w:val="none"/>
              </w:rPr>
            </w:pPr>
          </w:p>
        </w:tc>
        <w:tc>
          <w:tcPr>
            <w:tcW w:w="777" w:type="dxa"/>
            <w:shd w:val="clear" w:color="auto" w:fill="FFFFFF"/>
            <w:vAlign w:val="center"/>
          </w:tcPr>
          <w:p w14:paraId="061AB6E8">
            <w:pPr>
              <w:jc w:val="center"/>
              <w:rPr>
                <w:rFonts w:hint="eastAsia" w:ascii="宋体" w:hAnsi="宋体" w:eastAsia="宋体" w:cs="宋体"/>
                <w:i w:val="0"/>
                <w:iCs w:val="0"/>
                <w:color w:val="000000"/>
                <w:sz w:val="21"/>
                <w:szCs w:val="21"/>
                <w:u w:val="none"/>
              </w:rPr>
            </w:pPr>
          </w:p>
        </w:tc>
      </w:tr>
      <w:tr w14:paraId="2F721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0" w:hRule="atLeast"/>
        </w:trPr>
        <w:tc>
          <w:tcPr>
            <w:tcW w:w="503" w:type="dxa"/>
            <w:shd w:val="clear" w:color="auto" w:fill="auto"/>
            <w:noWrap/>
            <w:vAlign w:val="center"/>
          </w:tcPr>
          <w:p w14:paraId="30A277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303" w:type="dxa"/>
            <w:shd w:val="clear" w:color="auto" w:fill="FFFFFF"/>
            <w:vAlign w:val="center"/>
          </w:tcPr>
          <w:p w14:paraId="0D5348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一拖二无线手持话筒（含软件）</w:t>
            </w:r>
          </w:p>
        </w:tc>
        <w:tc>
          <w:tcPr>
            <w:tcW w:w="8049" w:type="dxa"/>
            <w:shd w:val="clear" w:color="auto" w:fill="auto"/>
            <w:vAlign w:val="center"/>
          </w:tcPr>
          <w:p w14:paraId="0BADF0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▲1.具有自动静音功能，麦克风跌落、抛掷时，毫秒级自动静音，避免冲击声；实时监测设备姿态，静置≥5秒静音，≥8分钟关机，无需手动干预。</w:t>
            </w:r>
          </w:p>
        </w:tc>
        <w:tc>
          <w:tcPr>
            <w:tcW w:w="806" w:type="dxa"/>
            <w:shd w:val="clear" w:color="auto" w:fill="FFFFFF"/>
            <w:vAlign w:val="center"/>
          </w:tcPr>
          <w:p w14:paraId="25557B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14" w:type="dxa"/>
            <w:shd w:val="clear" w:color="auto" w:fill="FFFFFF"/>
            <w:vAlign w:val="center"/>
          </w:tcPr>
          <w:p w14:paraId="302A06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54" w:type="dxa"/>
            <w:shd w:val="clear" w:color="auto" w:fill="FFFFFF"/>
            <w:vAlign w:val="center"/>
          </w:tcPr>
          <w:p w14:paraId="5A648EF7">
            <w:pPr>
              <w:jc w:val="center"/>
              <w:rPr>
                <w:rFonts w:hint="eastAsia" w:ascii="宋体" w:hAnsi="宋体" w:eastAsia="宋体" w:cs="宋体"/>
                <w:i w:val="0"/>
                <w:iCs w:val="0"/>
                <w:color w:val="000000"/>
                <w:sz w:val="21"/>
                <w:szCs w:val="21"/>
                <w:u w:val="none"/>
              </w:rPr>
            </w:pPr>
          </w:p>
        </w:tc>
        <w:tc>
          <w:tcPr>
            <w:tcW w:w="900" w:type="dxa"/>
            <w:shd w:val="clear" w:color="auto" w:fill="FFFFFF"/>
            <w:vAlign w:val="center"/>
          </w:tcPr>
          <w:p w14:paraId="68BE2EE0">
            <w:pPr>
              <w:jc w:val="center"/>
              <w:rPr>
                <w:rFonts w:hint="eastAsia" w:ascii="宋体" w:hAnsi="宋体" w:eastAsia="宋体" w:cs="宋体"/>
                <w:i w:val="0"/>
                <w:iCs w:val="0"/>
                <w:color w:val="000000"/>
                <w:sz w:val="21"/>
                <w:szCs w:val="21"/>
                <w:u w:val="none"/>
              </w:rPr>
            </w:pPr>
          </w:p>
        </w:tc>
        <w:tc>
          <w:tcPr>
            <w:tcW w:w="1080" w:type="dxa"/>
            <w:shd w:val="clear" w:color="auto" w:fill="FFFFFF"/>
            <w:vAlign w:val="center"/>
          </w:tcPr>
          <w:p w14:paraId="334EDD71">
            <w:pPr>
              <w:jc w:val="center"/>
              <w:rPr>
                <w:rFonts w:hint="eastAsia" w:ascii="宋体" w:hAnsi="宋体" w:eastAsia="宋体" w:cs="宋体"/>
                <w:i w:val="0"/>
                <w:iCs w:val="0"/>
                <w:color w:val="000000"/>
                <w:sz w:val="21"/>
                <w:szCs w:val="21"/>
                <w:u w:val="none"/>
              </w:rPr>
            </w:pPr>
          </w:p>
        </w:tc>
        <w:tc>
          <w:tcPr>
            <w:tcW w:w="777" w:type="dxa"/>
            <w:shd w:val="clear" w:color="auto" w:fill="FFFFFF"/>
            <w:vAlign w:val="center"/>
          </w:tcPr>
          <w:p w14:paraId="44FFC889">
            <w:pPr>
              <w:jc w:val="center"/>
              <w:rPr>
                <w:rFonts w:hint="eastAsia" w:ascii="宋体" w:hAnsi="宋体" w:eastAsia="宋体" w:cs="宋体"/>
                <w:i w:val="0"/>
                <w:iCs w:val="0"/>
                <w:color w:val="000000"/>
                <w:sz w:val="21"/>
                <w:szCs w:val="21"/>
                <w:u w:val="none"/>
              </w:rPr>
            </w:pPr>
          </w:p>
        </w:tc>
      </w:tr>
      <w:tr w14:paraId="4D7A2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3" w:type="dxa"/>
            <w:shd w:val="clear" w:color="auto" w:fill="auto"/>
            <w:noWrap/>
            <w:vAlign w:val="center"/>
          </w:tcPr>
          <w:p w14:paraId="7D8E4E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303" w:type="dxa"/>
            <w:shd w:val="clear" w:color="auto" w:fill="FFFFFF"/>
            <w:vAlign w:val="center"/>
          </w:tcPr>
          <w:p w14:paraId="4E7C54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一拖二无线领夹话筒（含软件）</w:t>
            </w:r>
          </w:p>
        </w:tc>
        <w:tc>
          <w:tcPr>
            <w:tcW w:w="8049" w:type="dxa"/>
            <w:shd w:val="clear" w:color="auto" w:fill="auto"/>
            <w:vAlign w:val="center"/>
          </w:tcPr>
          <w:p w14:paraId="18B2EA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▲1.具有多档位混响调节功能，混响效果≥15625个，效果占比、回响延时、混响幅度调节，三种音效各具有≥25档调节方式。</w:t>
            </w:r>
          </w:p>
        </w:tc>
        <w:tc>
          <w:tcPr>
            <w:tcW w:w="806" w:type="dxa"/>
            <w:shd w:val="clear" w:color="auto" w:fill="FFFFFF"/>
            <w:noWrap/>
            <w:vAlign w:val="center"/>
          </w:tcPr>
          <w:p w14:paraId="379A54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14" w:type="dxa"/>
            <w:shd w:val="clear" w:color="auto" w:fill="FFFFFF"/>
            <w:vAlign w:val="center"/>
          </w:tcPr>
          <w:p w14:paraId="1F050B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54" w:type="dxa"/>
            <w:shd w:val="clear" w:color="auto" w:fill="FFFFFF"/>
            <w:vAlign w:val="center"/>
          </w:tcPr>
          <w:p w14:paraId="697EF7A2">
            <w:pPr>
              <w:jc w:val="center"/>
              <w:rPr>
                <w:rFonts w:hint="eastAsia" w:ascii="宋体" w:hAnsi="宋体" w:eastAsia="宋体" w:cs="宋体"/>
                <w:i w:val="0"/>
                <w:iCs w:val="0"/>
                <w:color w:val="000000"/>
                <w:sz w:val="21"/>
                <w:szCs w:val="21"/>
                <w:u w:val="none"/>
              </w:rPr>
            </w:pPr>
          </w:p>
        </w:tc>
        <w:tc>
          <w:tcPr>
            <w:tcW w:w="900" w:type="dxa"/>
            <w:shd w:val="clear" w:color="auto" w:fill="FFFFFF"/>
            <w:vAlign w:val="center"/>
          </w:tcPr>
          <w:p w14:paraId="2C98BAD0">
            <w:pPr>
              <w:jc w:val="center"/>
              <w:rPr>
                <w:rFonts w:hint="eastAsia" w:ascii="宋体" w:hAnsi="宋体" w:eastAsia="宋体" w:cs="宋体"/>
                <w:i w:val="0"/>
                <w:iCs w:val="0"/>
                <w:color w:val="000000"/>
                <w:sz w:val="21"/>
                <w:szCs w:val="21"/>
                <w:u w:val="none"/>
              </w:rPr>
            </w:pPr>
          </w:p>
        </w:tc>
        <w:tc>
          <w:tcPr>
            <w:tcW w:w="1080" w:type="dxa"/>
            <w:shd w:val="clear" w:color="auto" w:fill="FFFFFF"/>
            <w:vAlign w:val="center"/>
          </w:tcPr>
          <w:p w14:paraId="2C16485D">
            <w:pPr>
              <w:jc w:val="center"/>
              <w:rPr>
                <w:rFonts w:hint="eastAsia" w:ascii="宋体" w:hAnsi="宋体" w:eastAsia="宋体" w:cs="宋体"/>
                <w:i w:val="0"/>
                <w:iCs w:val="0"/>
                <w:color w:val="000000"/>
                <w:sz w:val="21"/>
                <w:szCs w:val="21"/>
                <w:u w:val="none"/>
              </w:rPr>
            </w:pPr>
          </w:p>
        </w:tc>
        <w:tc>
          <w:tcPr>
            <w:tcW w:w="777" w:type="dxa"/>
            <w:shd w:val="clear" w:color="auto" w:fill="FFFFFF"/>
            <w:vAlign w:val="center"/>
          </w:tcPr>
          <w:p w14:paraId="3E956B01">
            <w:pPr>
              <w:jc w:val="center"/>
              <w:rPr>
                <w:rFonts w:hint="eastAsia" w:ascii="宋体" w:hAnsi="宋体" w:eastAsia="宋体" w:cs="宋体"/>
                <w:i w:val="0"/>
                <w:iCs w:val="0"/>
                <w:color w:val="000000"/>
                <w:sz w:val="21"/>
                <w:szCs w:val="21"/>
                <w:u w:val="none"/>
              </w:rPr>
            </w:pPr>
          </w:p>
        </w:tc>
      </w:tr>
      <w:tr w14:paraId="0AB4A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503" w:type="dxa"/>
            <w:shd w:val="clear" w:color="auto" w:fill="auto"/>
            <w:noWrap/>
            <w:vAlign w:val="center"/>
          </w:tcPr>
          <w:p w14:paraId="19CBB9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303" w:type="dxa"/>
            <w:shd w:val="clear" w:color="auto" w:fill="FFFFFF"/>
            <w:vAlign w:val="center"/>
          </w:tcPr>
          <w:p w14:paraId="0D2A39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一拖八无线短咪杆话筒（含软件）</w:t>
            </w:r>
          </w:p>
        </w:tc>
        <w:tc>
          <w:tcPr>
            <w:tcW w:w="8049" w:type="dxa"/>
            <w:shd w:val="clear" w:color="auto" w:fill="auto"/>
            <w:vAlign w:val="center"/>
          </w:tcPr>
          <w:p w14:paraId="5E1F7E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▲1.接收机前面板具有≥8个LCD 显示屏、≥8个编码旋钮、≥8个频率扫描实体按键、≥8个红外对频实体按键、≥1个电源开关按键、≥1个二合一指示灯（红外发射管+对频指示灯）；后面板具有≥2个LINE-OUT接口、≥8个XLR-OUT接口、≥8个BNC接口、≥1个DC接口。桌面式发射机具有≥1个TYPE-C 充电口、≥1个3.5mm耳麦输入接口、≥1个OLED显示屏、≥1个电源开关按键，≥1个触摸开关麦按键。</w:t>
            </w:r>
          </w:p>
        </w:tc>
        <w:tc>
          <w:tcPr>
            <w:tcW w:w="806" w:type="dxa"/>
            <w:shd w:val="clear" w:color="auto" w:fill="FFFFFF"/>
            <w:vAlign w:val="center"/>
          </w:tcPr>
          <w:p w14:paraId="029D02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14" w:type="dxa"/>
            <w:shd w:val="clear" w:color="auto" w:fill="FFFFFF"/>
            <w:vAlign w:val="center"/>
          </w:tcPr>
          <w:p w14:paraId="71D750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54" w:type="dxa"/>
            <w:shd w:val="clear" w:color="auto" w:fill="FFFFFF"/>
            <w:vAlign w:val="center"/>
          </w:tcPr>
          <w:p w14:paraId="7C73C008">
            <w:pPr>
              <w:jc w:val="center"/>
              <w:rPr>
                <w:rFonts w:hint="eastAsia" w:ascii="宋体" w:hAnsi="宋体" w:eastAsia="宋体" w:cs="宋体"/>
                <w:i w:val="0"/>
                <w:iCs w:val="0"/>
                <w:color w:val="000000"/>
                <w:sz w:val="21"/>
                <w:szCs w:val="21"/>
                <w:u w:val="none"/>
              </w:rPr>
            </w:pPr>
          </w:p>
        </w:tc>
        <w:tc>
          <w:tcPr>
            <w:tcW w:w="900" w:type="dxa"/>
            <w:shd w:val="clear" w:color="auto" w:fill="FFFFFF"/>
            <w:vAlign w:val="center"/>
          </w:tcPr>
          <w:p w14:paraId="1548E085">
            <w:pPr>
              <w:jc w:val="center"/>
              <w:rPr>
                <w:rFonts w:hint="eastAsia" w:ascii="宋体" w:hAnsi="宋体" w:eastAsia="宋体" w:cs="宋体"/>
                <w:i w:val="0"/>
                <w:iCs w:val="0"/>
                <w:color w:val="000000"/>
                <w:sz w:val="21"/>
                <w:szCs w:val="21"/>
                <w:u w:val="none"/>
              </w:rPr>
            </w:pPr>
          </w:p>
        </w:tc>
        <w:tc>
          <w:tcPr>
            <w:tcW w:w="1080" w:type="dxa"/>
            <w:shd w:val="clear" w:color="auto" w:fill="FFFFFF"/>
            <w:vAlign w:val="center"/>
          </w:tcPr>
          <w:p w14:paraId="1B278FD2">
            <w:pPr>
              <w:jc w:val="center"/>
              <w:rPr>
                <w:rFonts w:hint="eastAsia" w:ascii="宋体" w:hAnsi="宋体" w:eastAsia="宋体" w:cs="宋体"/>
                <w:i w:val="0"/>
                <w:iCs w:val="0"/>
                <w:color w:val="000000"/>
                <w:sz w:val="21"/>
                <w:szCs w:val="21"/>
                <w:u w:val="none"/>
              </w:rPr>
            </w:pPr>
          </w:p>
        </w:tc>
        <w:tc>
          <w:tcPr>
            <w:tcW w:w="777" w:type="dxa"/>
            <w:shd w:val="clear" w:color="auto" w:fill="FFFFFF"/>
            <w:vAlign w:val="center"/>
          </w:tcPr>
          <w:p w14:paraId="5880711F">
            <w:pPr>
              <w:jc w:val="center"/>
              <w:rPr>
                <w:rFonts w:hint="eastAsia" w:ascii="宋体" w:hAnsi="宋体" w:eastAsia="宋体" w:cs="宋体"/>
                <w:i w:val="0"/>
                <w:iCs w:val="0"/>
                <w:color w:val="000000"/>
                <w:sz w:val="21"/>
                <w:szCs w:val="21"/>
                <w:u w:val="none"/>
              </w:rPr>
            </w:pPr>
          </w:p>
        </w:tc>
      </w:tr>
      <w:tr w14:paraId="3C2B2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9" w:hRule="atLeast"/>
        </w:trPr>
        <w:tc>
          <w:tcPr>
            <w:tcW w:w="503" w:type="dxa"/>
            <w:shd w:val="clear" w:color="auto" w:fill="auto"/>
            <w:noWrap/>
            <w:vAlign w:val="center"/>
          </w:tcPr>
          <w:p w14:paraId="6BF2F8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303" w:type="dxa"/>
            <w:shd w:val="clear" w:color="auto" w:fill="FFFFFF"/>
            <w:vAlign w:val="center"/>
          </w:tcPr>
          <w:p w14:paraId="51253B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电源管理器</w:t>
            </w:r>
          </w:p>
        </w:tc>
        <w:tc>
          <w:tcPr>
            <w:tcW w:w="8049" w:type="dxa"/>
            <w:shd w:val="clear" w:color="auto" w:fill="auto"/>
            <w:vAlign w:val="center"/>
          </w:tcPr>
          <w:p w14:paraId="7A7276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1.支持≥8通道电源时序打开/关闭，每路动作延时时间：≤1秒，支持远程控制（上电+24V直流信号）8通道电源时序打开/关闭—当电源开关处于off位置时有效。支持配置CH1和CH2通道为受控或不受控状态。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2.当远程控制有效时同时控制后板ALARM（报警）端口导通以起到级联控制ALARM（报警）功能。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3.单个通道最大负载功率≥2200W，所有通道负载总功率≥6000W。输出连接器：多用途电源插座。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4.具有≥1路USB接口。</w:t>
            </w:r>
          </w:p>
        </w:tc>
        <w:tc>
          <w:tcPr>
            <w:tcW w:w="806" w:type="dxa"/>
            <w:shd w:val="clear" w:color="auto" w:fill="FFFFFF"/>
            <w:vAlign w:val="center"/>
          </w:tcPr>
          <w:p w14:paraId="7DE51C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14" w:type="dxa"/>
            <w:shd w:val="clear" w:color="auto" w:fill="FFFFFF"/>
            <w:vAlign w:val="center"/>
          </w:tcPr>
          <w:p w14:paraId="265543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54" w:type="dxa"/>
            <w:shd w:val="clear" w:color="auto" w:fill="FFFFFF"/>
            <w:vAlign w:val="center"/>
          </w:tcPr>
          <w:p w14:paraId="2842F9B2">
            <w:pPr>
              <w:jc w:val="center"/>
              <w:rPr>
                <w:rFonts w:hint="eastAsia" w:ascii="宋体" w:hAnsi="宋体" w:eastAsia="宋体" w:cs="宋体"/>
                <w:i w:val="0"/>
                <w:iCs w:val="0"/>
                <w:color w:val="000000"/>
                <w:sz w:val="21"/>
                <w:szCs w:val="21"/>
                <w:u w:val="none"/>
              </w:rPr>
            </w:pPr>
          </w:p>
        </w:tc>
        <w:tc>
          <w:tcPr>
            <w:tcW w:w="900" w:type="dxa"/>
            <w:shd w:val="clear" w:color="auto" w:fill="FFFFFF"/>
            <w:vAlign w:val="center"/>
          </w:tcPr>
          <w:p w14:paraId="69AA02A9">
            <w:pPr>
              <w:jc w:val="center"/>
              <w:rPr>
                <w:rFonts w:hint="eastAsia" w:ascii="宋体" w:hAnsi="宋体" w:eastAsia="宋体" w:cs="宋体"/>
                <w:i w:val="0"/>
                <w:iCs w:val="0"/>
                <w:color w:val="000000"/>
                <w:sz w:val="21"/>
                <w:szCs w:val="21"/>
                <w:u w:val="none"/>
              </w:rPr>
            </w:pPr>
          </w:p>
        </w:tc>
        <w:tc>
          <w:tcPr>
            <w:tcW w:w="1080" w:type="dxa"/>
            <w:shd w:val="clear" w:color="auto" w:fill="FFFFFF"/>
            <w:vAlign w:val="center"/>
          </w:tcPr>
          <w:p w14:paraId="05BABD30">
            <w:pPr>
              <w:jc w:val="center"/>
              <w:rPr>
                <w:rFonts w:hint="eastAsia" w:ascii="宋体" w:hAnsi="宋体" w:eastAsia="宋体" w:cs="宋体"/>
                <w:i w:val="0"/>
                <w:iCs w:val="0"/>
                <w:color w:val="000000"/>
                <w:sz w:val="21"/>
                <w:szCs w:val="21"/>
                <w:u w:val="none"/>
              </w:rPr>
            </w:pPr>
          </w:p>
        </w:tc>
        <w:tc>
          <w:tcPr>
            <w:tcW w:w="777" w:type="dxa"/>
            <w:shd w:val="clear" w:color="auto" w:fill="FFFFFF"/>
            <w:vAlign w:val="center"/>
          </w:tcPr>
          <w:p w14:paraId="61A85E46">
            <w:pPr>
              <w:jc w:val="center"/>
              <w:rPr>
                <w:rFonts w:hint="eastAsia" w:ascii="宋体" w:hAnsi="宋体" w:eastAsia="宋体" w:cs="宋体"/>
                <w:i w:val="0"/>
                <w:iCs w:val="0"/>
                <w:color w:val="000000"/>
                <w:sz w:val="21"/>
                <w:szCs w:val="21"/>
                <w:u w:val="none"/>
              </w:rPr>
            </w:pPr>
          </w:p>
        </w:tc>
      </w:tr>
      <w:tr w14:paraId="545A9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7" w:hRule="atLeast"/>
        </w:trPr>
        <w:tc>
          <w:tcPr>
            <w:tcW w:w="14686" w:type="dxa"/>
            <w:gridSpan w:val="9"/>
            <w:shd w:val="clear" w:color="auto" w:fill="FFFFFF"/>
            <w:noWrap/>
            <w:vAlign w:val="center"/>
          </w:tcPr>
          <w:p w14:paraId="48502CB0">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B、远程视频会议</w:t>
            </w:r>
          </w:p>
        </w:tc>
      </w:tr>
      <w:tr w14:paraId="4673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6" w:hRule="atLeast"/>
        </w:trPr>
        <w:tc>
          <w:tcPr>
            <w:tcW w:w="503" w:type="dxa"/>
            <w:shd w:val="clear" w:color="auto" w:fill="FFFFFF"/>
            <w:noWrap/>
            <w:vAlign w:val="center"/>
          </w:tcPr>
          <w:p w14:paraId="083A23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03" w:type="dxa"/>
            <w:shd w:val="clear" w:color="auto" w:fill="FFFFFF"/>
            <w:vAlign w:val="center"/>
          </w:tcPr>
          <w:p w14:paraId="22566F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摄像机（含软件）</w:t>
            </w:r>
          </w:p>
        </w:tc>
        <w:tc>
          <w:tcPr>
            <w:tcW w:w="8049" w:type="dxa"/>
            <w:shd w:val="clear" w:color="auto" w:fill="FFFFFF"/>
            <w:vAlign w:val="center"/>
          </w:tcPr>
          <w:p w14:paraId="1A9DFD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1.高清摄像机具备≥20倍光学变倍镜头，并支持≥16倍数字变焦；采用1/2.8英寸、≥207万有效像素的高品质HD CMOS传感器。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2.镜头焦距f4.42mm ~ 88.5mm, 光圈系数F1.8 ~ F2.8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3.支持1080P60，1080P59.94，1080P50，1080I60，1080I59.94，1080I50，1080P30，1080P29.97，1080P25，720P60，720P59.94，720P50分辨率，支持输出帧率≥60帧/秒。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4.支持HDMI、SDI、USB、网络四路视频同时输出。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5.支持RS232和RS485串口，可对摄像机进行控制；支持预置位数量≥255个，预置位精度：≤0.1°。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6.水平视场角：60.7°～3.36°；支持水平转动范围：-170°～+170°，垂直转动范围：-30°～+90°，水平转动速度范围：水平：1.7° ~ 100°/s，俯仰：1.7° ~ 69.9°/s。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7.支持先进的2D、3D降噪技术。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8.内置AI技术和行人重识别技术，实现自动识别目标人形并跟踪、自动框选功能。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9.支持AAC音频编码，音质更佳，带宽占用更小。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10.支持PoE供电。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11.具备≥1路HDMI输出接口、≥1路3G-SDI输出接口、≥1路USB3.0输出接口，具备≥1路3.5mm音频输入接口和≥1路3.5mm音频输出接口。</w:t>
            </w:r>
          </w:p>
        </w:tc>
        <w:tc>
          <w:tcPr>
            <w:tcW w:w="806" w:type="dxa"/>
            <w:shd w:val="clear" w:color="auto" w:fill="FFFFFF"/>
            <w:vAlign w:val="center"/>
          </w:tcPr>
          <w:p w14:paraId="7958E4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14" w:type="dxa"/>
            <w:shd w:val="clear" w:color="auto" w:fill="FFFFFF"/>
            <w:vAlign w:val="center"/>
          </w:tcPr>
          <w:p w14:paraId="4E0C86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54" w:type="dxa"/>
            <w:shd w:val="clear" w:color="auto" w:fill="FFFFFF"/>
            <w:vAlign w:val="center"/>
          </w:tcPr>
          <w:p w14:paraId="6C98A0C7">
            <w:pPr>
              <w:jc w:val="center"/>
              <w:rPr>
                <w:rFonts w:hint="eastAsia" w:ascii="宋体" w:hAnsi="宋体" w:eastAsia="宋体" w:cs="宋体"/>
                <w:i w:val="0"/>
                <w:iCs w:val="0"/>
                <w:color w:val="000000"/>
                <w:sz w:val="21"/>
                <w:szCs w:val="21"/>
                <w:u w:val="none"/>
              </w:rPr>
            </w:pPr>
          </w:p>
        </w:tc>
        <w:tc>
          <w:tcPr>
            <w:tcW w:w="900" w:type="dxa"/>
            <w:shd w:val="clear" w:color="auto" w:fill="FFFFFF"/>
            <w:vAlign w:val="center"/>
          </w:tcPr>
          <w:p w14:paraId="54F8BE8C">
            <w:pPr>
              <w:jc w:val="center"/>
              <w:rPr>
                <w:rFonts w:hint="eastAsia" w:ascii="宋体" w:hAnsi="宋体" w:eastAsia="宋体" w:cs="宋体"/>
                <w:i w:val="0"/>
                <w:iCs w:val="0"/>
                <w:color w:val="000000"/>
                <w:sz w:val="21"/>
                <w:szCs w:val="21"/>
                <w:u w:val="none"/>
              </w:rPr>
            </w:pPr>
          </w:p>
        </w:tc>
        <w:tc>
          <w:tcPr>
            <w:tcW w:w="1080" w:type="dxa"/>
            <w:shd w:val="clear" w:color="auto" w:fill="FFFFFF"/>
            <w:vAlign w:val="center"/>
          </w:tcPr>
          <w:p w14:paraId="2DF22B9A">
            <w:pPr>
              <w:jc w:val="center"/>
              <w:rPr>
                <w:rFonts w:hint="eastAsia" w:ascii="宋体" w:hAnsi="宋体" w:eastAsia="宋体" w:cs="宋体"/>
                <w:i w:val="0"/>
                <w:iCs w:val="0"/>
                <w:color w:val="000000"/>
                <w:sz w:val="21"/>
                <w:szCs w:val="21"/>
                <w:u w:val="none"/>
              </w:rPr>
            </w:pPr>
          </w:p>
        </w:tc>
        <w:tc>
          <w:tcPr>
            <w:tcW w:w="777" w:type="dxa"/>
            <w:shd w:val="clear" w:color="auto" w:fill="FFFFFF"/>
            <w:vAlign w:val="center"/>
          </w:tcPr>
          <w:p w14:paraId="1FEAC852">
            <w:pPr>
              <w:jc w:val="center"/>
              <w:rPr>
                <w:rFonts w:hint="eastAsia" w:ascii="宋体" w:hAnsi="宋体" w:eastAsia="宋体" w:cs="宋体"/>
                <w:i w:val="0"/>
                <w:iCs w:val="0"/>
                <w:color w:val="000000"/>
                <w:sz w:val="21"/>
                <w:szCs w:val="21"/>
                <w:u w:val="none"/>
              </w:rPr>
            </w:pPr>
          </w:p>
        </w:tc>
      </w:tr>
      <w:tr w14:paraId="1823B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0" w:hRule="atLeast"/>
        </w:trPr>
        <w:tc>
          <w:tcPr>
            <w:tcW w:w="503" w:type="dxa"/>
            <w:shd w:val="clear" w:color="auto" w:fill="FFFFFF"/>
            <w:noWrap/>
            <w:vAlign w:val="center"/>
          </w:tcPr>
          <w:p w14:paraId="3454F9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03" w:type="dxa"/>
            <w:shd w:val="clear" w:color="auto" w:fill="FFFFFF"/>
            <w:vAlign w:val="center"/>
          </w:tcPr>
          <w:p w14:paraId="2C38B7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支架</w:t>
            </w:r>
          </w:p>
        </w:tc>
        <w:tc>
          <w:tcPr>
            <w:tcW w:w="8049" w:type="dxa"/>
            <w:shd w:val="clear" w:color="auto" w:fill="FFFFFF"/>
            <w:vAlign w:val="center"/>
          </w:tcPr>
          <w:p w14:paraId="37EC68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尺寸：164.3mm × 141.5mm × 12.4mm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重量：0.45kg</w:t>
            </w:r>
          </w:p>
        </w:tc>
        <w:tc>
          <w:tcPr>
            <w:tcW w:w="806" w:type="dxa"/>
            <w:shd w:val="clear" w:color="auto" w:fill="FFFFFF"/>
            <w:vAlign w:val="center"/>
          </w:tcPr>
          <w:p w14:paraId="741A0A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14" w:type="dxa"/>
            <w:shd w:val="clear" w:color="auto" w:fill="FFFFFF"/>
            <w:vAlign w:val="center"/>
          </w:tcPr>
          <w:p w14:paraId="218B12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54" w:type="dxa"/>
            <w:shd w:val="clear" w:color="auto" w:fill="FFFFFF"/>
            <w:vAlign w:val="center"/>
          </w:tcPr>
          <w:p w14:paraId="1CD738EF">
            <w:pPr>
              <w:jc w:val="center"/>
              <w:rPr>
                <w:rFonts w:hint="eastAsia" w:ascii="宋体" w:hAnsi="宋体" w:eastAsia="宋体" w:cs="宋体"/>
                <w:i w:val="0"/>
                <w:iCs w:val="0"/>
                <w:color w:val="000000"/>
                <w:sz w:val="21"/>
                <w:szCs w:val="21"/>
                <w:u w:val="none"/>
              </w:rPr>
            </w:pPr>
          </w:p>
        </w:tc>
        <w:tc>
          <w:tcPr>
            <w:tcW w:w="900" w:type="dxa"/>
            <w:shd w:val="clear" w:color="auto" w:fill="FFFFFF"/>
            <w:vAlign w:val="center"/>
          </w:tcPr>
          <w:p w14:paraId="35CB4C3E">
            <w:pPr>
              <w:jc w:val="center"/>
              <w:rPr>
                <w:rFonts w:hint="eastAsia" w:ascii="宋体" w:hAnsi="宋体" w:eastAsia="宋体" w:cs="宋体"/>
                <w:i w:val="0"/>
                <w:iCs w:val="0"/>
                <w:color w:val="000000"/>
                <w:sz w:val="21"/>
                <w:szCs w:val="21"/>
                <w:u w:val="none"/>
              </w:rPr>
            </w:pPr>
          </w:p>
        </w:tc>
        <w:tc>
          <w:tcPr>
            <w:tcW w:w="1080" w:type="dxa"/>
            <w:shd w:val="clear" w:color="auto" w:fill="FFFFFF"/>
            <w:vAlign w:val="center"/>
          </w:tcPr>
          <w:p w14:paraId="5EAC70B6">
            <w:pPr>
              <w:jc w:val="center"/>
              <w:rPr>
                <w:rFonts w:hint="eastAsia" w:ascii="宋体" w:hAnsi="宋体" w:eastAsia="宋体" w:cs="宋体"/>
                <w:i w:val="0"/>
                <w:iCs w:val="0"/>
                <w:color w:val="000000"/>
                <w:sz w:val="21"/>
                <w:szCs w:val="21"/>
                <w:u w:val="none"/>
              </w:rPr>
            </w:pPr>
          </w:p>
        </w:tc>
        <w:tc>
          <w:tcPr>
            <w:tcW w:w="777" w:type="dxa"/>
            <w:shd w:val="clear" w:color="auto" w:fill="FFFFFF"/>
            <w:vAlign w:val="center"/>
          </w:tcPr>
          <w:p w14:paraId="08B0FC66">
            <w:pPr>
              <w:jc w:val="center"/>
              <w:rPr>
                <w:rFonts w:hint="eastAsia" w:ascii="宋体" w:hAnsi="宋体" w:eastAsia="宋体" w:cs="宋体"/>
                <w:i w:val="0"/>
                <w:iCs w:val="0"/>
                <w:color w:val="000000"/>
                <w:sz w:val="21"/>
                <w:szCs w:val="21"/>
                <w:u w:val="none"/>
              </w:rPr>
            </w:pPr>
          </w:p>
        </w:tc>
      </w:tr>
      <w:tr w14:paraId="3D0E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9" w:hRule="atLeast"/>
        </w:trPr>
        <w:tc>
          <w:tcPr>
            <w:tcW w:w="503" w:type="dxa"/>
            <w:shd w:val="clear" w:color="auto" w:fill="FFFFFF"/>
            <w:noWrap/>
            <w:vAlign w:val="center"/>
          </w:tcPr>
          <w:p w14:paraId="7452B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03" w:type="dxa"/>
            <w:shd w:val="clear" w:color="auto" w:fill="auto"/>
            <w:vAlign w:val="center"/>
          </w:tcPr>
          <w:p w14:paraId="15E8B2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视频采集卡</w:t>
            </w:r>
          </w:p>
        </w:tc>
        <w:tc>
          <w:tcPr>
            <w:tcW w:w="8049" w:type="dxa"/>
            <w:shd w:val="clear" w:color="auto" w:fill="auto"/>
            <w:vAlign w:val="center"/>
          </w:tcPr>
          <w:p w14:paraId="57D4F5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HDMI转USB</w:t>
            </w:r>
          </w:p>
        </w:tc>
        <w:tc>
          <w:tcPr>
            <w:tcW w:w="806" w:type="dxa"/>
            <w:shd w:val="clear" w:color="auto" w:fill="auto"/>
            <w:vAlign w:val="center"/>
          </w:tcPr>
          <w:p w14:paraId="02C0FE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14" w:type="dxa"/>
            <w:shd w:val="clear" w:color="auto" w:fill="auto"/>
            <w:vAlign w:val="center"/>
          </w:tcPr>
          <w:p w14:paraId="51D413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54" w:type="dxa"/>
            <w:shd w:val="clear" w:color="auto" w:fill="auto"/>
            <w:vAlign w:val="center"/>
          </w:tcPr>
          <w:p w14:paraId="0E462C65">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0C87E574">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4D809E75">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68472495">
            <w:pPr>
              <w:jc w:val="center"/>
              <w:rPr>
                <w:rFonts w:hint="eastAsia" w:ascii="宋体" w:hAnsi="宋体" w:eastAsia="宋体" w:cs="宋体"/>
                <w:i w:val="0"/>
                <w:iCs w:val="0"/>
                <w:color w:val="000000"/>
                <w:sz w:val="21"/>
                <w:szCs w:val="21"/>
                <w:u w:val="none"/>
              </w:rPr>
            </w:pPr>
          </w:p>
        </w:tc>
      </w:tr>
      <w:tr w14:paraId="7BB2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4" w:hRule="atLeast"/>
        </w:trPr>
        <w:tc>
          <w:tcPr>
            <w:tcW w:w="503" w:type="dxa"/>
            <w:shd w:val="clear" w:color="auto" w:fill="FFFFFF"/>
            <w:noWrap/>
            <w:vAlign w:val="center"/>
          </w:tcPr>
          <w:p w14:paraId="471C18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03" w:type="dxa"/>
            <w:shd w:val="clear" w:color="auto" w:fill="auto"/>
            <w:vAlign w:val="center"/>
          </w:tcPr>
          <w:p w14:paraId="5F3EE3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3.5音频分离</w:t>
            </w:r>
          </w:p>
        </w:tc>
        <w:tc>
          <w:tcPr>
            <w:tcW w:w="8049" w:type="dxa"/>
            <w:shd w:val="clear" w:color="auto" w:fill="auto"/>
            <w:vAlign w:val="center"/>
          </w:tcPr>
          <w:p w14:paraId="493DBA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笔记本3.5音频输入输出分离</w:t>
            </w:r>
          </w:p>
        </w:tc>
        <w:tc>
          <w:tcPr>
            <w:tcW w:w="806" w:type="dxa"/>
            <w:shd w:val="clear" w:color="auto" w:fill="auto"/>
            <w:vAlign w:val="center"/>
          </w:tcPr>
          <w:p w14:paraId="445332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14" w:type="dxa"/>
            <w:shd w:val="clear" w:color="auto" w:fill="auto"/>
            <w:vAlign w:val="center"/>
          </w:tcPr>
          <w:p w14:paraId="11FD4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54" w:type="dxa"/>
            <w:shd w:val="clear" w:color="auto" w:fill="auto"/>
            <w:vAlign w:val="center"/>
          </w:tcPr>
          <w:p w14:paraId="2C2D123F">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3AEFB795">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1D66A98E">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687CAF85">
            <w:pPr>
              <w:jc w:val="center"/>
              <w:rPr>
                <w:rFonts w:hint="eastAsia" w:ascii="宋体" w:hAnsi="宋体" w:eastAsia="宋体" w:cs="宋体"/>
                <w:i w:val="0"/>
                <w:iCs w:val="0"/>
                <w:color w:val="000000"/>
                <w:sz w:val="21"/>
                <w:szCs w:val="21"/>
                <w:u w:val="none"/>
              </w:rPr>
            </w:pPr>
          </w:p>
        </w:tc>
      </w:tr>
      <w:tr w14:paraId="0B46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4686" w:type="dxa"/>
            <w:gridSpan w:val="9"/>
            <w:shd w:val="clear" w:color="auto" w:fill="auto"/>
            <w:noWrap/>
            <w:vAlign w:val="center"/>
          </w:tcPr>
          <w:p w14:paraId="5503BCB9">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C、辅助材料</w:t>
            </w:r>
          </w:p>
        </w:tc>
      </w:tr>
      <w:tr w14:paraId="580E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0" w:hRule="atLeast"/>
        </w:trPr>
        <w:tc>
          <w:tcPr>
            <w:tcW w:w="503" w:type="dxa"/>
            <w:shd w:val="clear" w:color="auto" w:fill="auto"/>
            <w:noWrap/>
            <w:vAlign w:val="center"/>
          </w:tcPr>
          <w:p w14:paraId="204ED5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03" w:type="dxa"/>
            <w:shd w:val="clear" w:color="auto" w:fill="auto"/>
            <w:vAlign w:val="center"/>
          </w:tcPr>
          <w:p w14:paraId="0386B6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天线延长线</w:t>
            </w:r>
          </w:p>
        </w:tc>
        <w:tc>
          <w:tcPr>
            <w:tcW w:w="8049" w:type="dxa"/>
            <w:shd w:val="clear" w:color="auto" w:fill="auto"/>
            <w:vAlign w:val="center"/>
          </w:tcPr>
          <w:p w14:paraId="1B76B7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射频线缆全铜SYV50-5单层屏蔽128编同轴电缆馈线50欧姆50-5高频线 国标 SYV50-5电缆 1米</w:t>
            </w:r>
          </w:p>
        </w:tc>
        <w:tc>
          <w:tcPr>
            <w:tcW w:w="806" w:type="dxa"/>
            <w:shd w:val="clear" w:color="auto" w:fill="auto"/>
            <w:noWrap/>
            <w:vAlign w:val="center"/>
          </w:tcPr>
          <w:p w14:paraId="7CA737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514" w:type="dxa"/>
            <w:shd w:val="clear" w:color="auto" w:fill="auto"/>
            <w:vAlign w:val="center"/>
          </w:tcPr>
          <w:p w14:paraId="2D23A4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54" w:type="dxa"/>
            <w:shd w:val="clear" w:color="auto" w:fill="auto"/>
            <w:vAlign w:val="center"/>
          </w:tcPr>
          <w:p w14:paraId="44605E70">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2E61FFF6">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23CED12B">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623CE407">
            <w:pPr>
              <w:jc w:val="center"/>
              <w:rPr>
                <w:rFonts w:hint="eastAsia" w:ascii="宋体" w:hAnsi="宋体" w:eastAsia="宋体" w:cs="宋体"/>
                <w:i w:val="0"/>
                <w:iCs w:val="0"/>
                <w:color w:val="000000"/>
                <w:sz w:val="21"/>
                <w:szCs w:val="21"/>
                <w:u w:val="none"/>
              </w:rPr>
            </w:pPr>
          </w:p>
        </w:tc>
      </w:tr>
      <w:tr w14:paraId="7740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0" w:hRule="atLeast"/>
        </w:trPr>
        <w:tc>
          <w:tcPr>
            <w:tcW w:w="503" w:type="dxa"/>
            <w:shd w:val="clear" w:color="auto" w:fill="auto"/>
            <w:noWrap/>
            <w:vAlign w:val="center"/>
          </w:tcPr>
          <w:p w14:paraId="22EA8E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03" w:type="dxa"/>
            <w:shd w:val="clear" w:color="auto" w:fill="auto"/>
            <w:vAlign w:val="center"/>
          </w:tcPr>
          <w:p w14:paraId="5891AE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音频连接线</w:t>
            </w:r>
          </w:p>
        </w:tc>
        <w:tc>
          <w:tcPr>
            <w:tcW w:w="8049" w:type="dxa"/>
            <w:shd w:val="clear" w:color="auto" w:fill="FFFFFF"/>
            <w:vAlign w:val="center"/>
          </w:tcPr>
          <w:p w14:paraId="10EBA5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1.8米音频连接线：卡侬头（母）-卡侬头（公）</w:t>
            </w:r>
          </w:p>
        </w:tc>
        <w:tc>
          <w:tcPr>
            <w:tcW w:w="806" w:type="dxa"/>
            <w:shd w:val="clear" w:color="auto" w:fill="FFFFFF"/>
            <w:noWrap/>
            <w:vAlign w:val="center"/>
          </w:tcPr>
          <w:p w14:paraId="6E0436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14" w:type="dxa"/>
            <w:shd w:val="clear" w:color="auto" w:fill="FFFFFF"/>
            <w:vAlign w:val="center"/>
          </w:tcPr>
          <w:p w14:paraId="2A1AB2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54" w:type="dxa"/>
            <w:shd w:val="clear" w:color="auto" w:fill="FFFFFF"/>
            <w:vAlign w:val="center"/>
          </w:tcPr>
          <w:p w14:paraId="6C5BD112">
            <w:pPr>
              <w:jc w:val="center"/>
              <w:rPr>
                <w:rFonts w:hint="eastAsia" w:ascii="宋体" w:hAnsi="宋体" w:eastAsia="宋体" w:cs="宋体"/>
                <w:i w:val="0"/>
                <w:iCs w:val="0"/>
                <w:color w:val="000000"/>
                <w:sz w:val="21"/>
                <w:szCs w:val="21"/>
                <w:u w:val="none"/>
              </w:rPr>
            </w:pPr>
          </w:p>
        </w:tc>
        <w:tc>
          <w:tcPr>
            <w:tcW w:w="900" w:type="dxa"/>
            <w:shd w:val="clear" w:color="auto" w:fill="FFFFFF"/>
            <w:vAlign w:val="center"/>
          </w:tcPr>
          <w:p w14:paraId="1BE2F4EA">
            <w:pPr>
              <w:jc w:val="center"/>
              <w:rPr>
                <w:rFonts w:hint="eastAsia" w:ascii="宋体" w:hAnsi="宋体" w:eastAsia="宋体" w:cs="宋体"/>
                <w:i w:val="0"/>
                <w:iCs w:val="0"/>
                <w:color w:val="000000"/>
                <w:sz w:val="21"/>
                <w:szCs w:val="21"/>
                <w:u w:val="none"/>
              </w:rPr>
            </w:pPr>
          </w:p>
        </w:tc>
        <w:tc>
          <w:tcPr>
            <w:tcW w:w="1080" w:type="dxa"/>
            <w:shd w:val="clear" w:color="auto" w:fill="FFFFFF"/>
            <w:vAlign w:val="center"/>
          </w:tcPr>
          <w:p w14:paraId="11A86FB3">
            <w:pPr>
              <w:jc w:val="center"/>
              <w:rPr>
                <w:rFonts w:hint="eastAsia" w:ascii="宋体" w:hAnsi="宋体" w:eastAsia="宋体" w:cs="宋体"/>
                <w:i w:val="0"/>
                <w:iCs w:val="0"/>
                <w:color w:val="000000"/>
                <w:sz w:val="21"/>
                <w:szCs w:val="21"/>
                <w:u w:val="none"/>
              </w:rPr>
            </w:pPr>
          </w:p>
        </w:tc>
        <w:tc>
          <w:tcPr>
            <w:tcW w:w="777" w:type="dxa"/>
            <w:shd w:val="clear" w:color="auto" w:fill="FFFFFF"/>
            <w:vAlign w:val="center"/>
          </w:tcPr>
          <w:p w14:paraId="349454BE">
            <w:pPr>
              <w:jc w:val="center"/>
              <w:rPr>
                <w:rFonts w:hint="eastAsia" w:ascii="宋体" w:hAnsi="宋体" w:eastAsia="宋体" w:cs="宋体"/>
                <w:i w:val="0"/>
                <w:iCs w:val="0"/>
                <w:color w:val="000000"/>
                <w:sz w:val="21"/>
                <w:szCs w:val="21"/>
                <w:u w:val="none"/>
              </w:rPr>
            </w:pPr>
          </w:p>
        </w:tc>
      </w:tr>
      <w:tr w14:paraId="7BCD3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0" w:hRule="atLeast"/>
        </w:trPr>
        <w:tc>
          <w:tcPr>
            <w:tcW w:w="503" w:type="dxa"/>
            <w:shd w:val="clear" w:color="auto" w:fill="auto"/>
            <w:noWrap/>
            <w:vAlign w:val="center"/>
          </w:tcPr>
          <w:p w14:paraId="525251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03" w:type="dxa"/>
            <w:shd w:val="clear" w:color="auto" w:fill="auto"/>
            <w:vAlign w:val="center"/>
          </w:tcPr>
          <w:p w14:paraId="37D9E1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音频连接线</w:t>
            </w:r>
          </w:p>
        </w:tc>
        <w:tc>
          <w:tcPr>
            <w:tcW w:w="8049" w:type="dxa"/>
            <w:shd w:val="clear" w:color="auto" w:fill="auto"/>
            <w:vAlign w:val="center"/>
          </w:tcPr>
          <w:p w14:paraId="7ADDC6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1.8米音频连接线：3.5（耳机插头）-双6.35话筒插头</w:t>
            </w:r>
          </w:p>
        </w:tc>
        <w:tc>
          <w:tcPr>
            <w:tcW w:w="806" w:type="dxa"/>
            <w:shd w:val="clear" w:color="auto" w:fill="auto"/>
            <w:noWrap/>
            <w:vAlign w:val="center"/>
          </w:tcPr>
          <w:p w14:paraId="060CFB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14" w:type="dxa"/>
            <w:shd w:val="clear" w:color="auto" w:fill="auto"/>
            <w:vAlign w:val="center"/>
          </w:tcPr>
          <w:p w14:paraId="430654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54" w:type="dxa"/>
            <w:shd w:val="clear" w:color="auto" w:fill="auto"/>
            <w:vAlign w:val="center"/>
          </w:tcPr>
          <w:p w14:paraId="07AC60AE">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2EB2CA2F">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7CC89E73">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437A8C5F">
            <w:pPr>
              <w:jc w:val="center"/>
              <w:rPr>
                <w:rFonts w:hint="eastAsia" w:ascii="宋体" w:hAnsi="宋体" w:eastAsia="宋体" w:cs="宋体"/>
                <w:i w:val="0"/>
                <w:iCs w:val="0"/>
                <w:color w:val="000000"/>
                <w:sz w:val="21"/>
                <w:szCs w:val="21"/>
                <w:u w:val="none"/>
              </w:rPr>
            </w:pPr>
          </w:p>
        </w:tc>
      </w:tr>
      <w:tr w14:paraId="0A859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0" w:hRule="atLeast"/>
        </w:trPr>
        <w:tc>
          <w:tcPr>
            <w:tcW w:w="503" w:type="dxa"/>
            <w:shd w:val="clear" w:color="auto" w:fill="auto"/>
            <w:noWrap/>
            <w:vAlign w:val="center"/>
          </w:tcPr>
          <w:p w14:paraId="1B135E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03" w:type="dxa"/>
            <w:shd w:val="clear" w:color="auto" w:fill="auto"/>
            <w:vAlign w:val="center"/>
          </w:tcPr>
          <w:p w14:paraId="74B441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音频连接线</w:t>
            </w:r>
          </w:p>
        </w:tc>
        <w:tc>
          <w:tcPr>
            <w:tcW w:w="8049" w:type="dxa"/>
            <w:shd w:val="clear" w:color="auto" w:fill="auto"/>
            <w:vAlign w:val="center"/>
          </w:tcPr>
          <w:p w14:paraId="266ED2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1.8米音频连接线：6.35话筒插头-卡侬头（公）</w:t>
            </w:r>
          </w:p>
        </w:tc>
        <w:tc>
          <w:tcPr>
            <w:tcW w:w="806" w:type="dxa"/>
            <w:shd w:val="clear" w:color="auto" w:fill="auto"/>
            <w:noWrap/>
            <w:vAlign w:val="center"/>
          </w:tcPr>
          <w:p w14:paraId="7F739A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14" w:type="dxa"/>
            <w:shd w:val="clear" w:color="auto" w:fill="auto"/>
            <w:vAlign w:val="center"/>
          </w:tcPr>
          <w:p w14:paraId="5F0773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54" w:type="dxa"/>
            <w:shd w:val="clear" w:color="auto" w:fill="auto"/>
            <w:vAlign w:val="center"/>
          </w:tcPr>
          <w:p w14:paraId="67FBB62E">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0FB388E6">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3866CF84">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0FBA7B1D">
            <w:pPr>
              <w:jc w:val="center"/>
              <w:rPr>
                <w:rFonts w:hint="eastAsia" w:ascii="宋体" w:hAnsi="宋体" w:eastAsia="宋体" w:cs="宋体"/>
                <w:i w:val="0"/>
                <w:iCs w:val="0"/>
                <w:color w:val="000000"/>
                <w:sz w:val="21"/>
                <w:szCs w:val="21"/>
                <w:u w:val="none"/>
              </w:rPr>
            </w:pPr>
          </w:p>
        </w:tc>
      </w:tr>
      <w:tr w14:paraId="67BA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503" w:type="dxa"/>
            <w:shd w:val="clear" w:color="auto" w:fill="auto"/>
            <w:noWrap/>
            <w:vAlign w:val="center"/>
          </w:tcPr>
          <w:p w14:paraId="191679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03" w:type="dxa"/>
            <w:shd w:val="clear" w:color="auto" w:fill="auto"/>
            <w:vAlign w:val="center"/>
          </w:tcPr>
          <w:p w14:paraId="2324D6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音频连接线</w:t>
            </w:r>
          </w:p>
        </w:tc>
        <w:tc>
          <w:tcPr>
            <w:tcW w:w="8049" w:type="dxa"/>
            <w:shd w:val="clear" w:color="auto" w:fill="auto"/>
            <w:vAlign w:val="center"/>
          </w:tcPr>
          <w:p w14:paraId="21E267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1.8米音频连接线：6.35话筒插头-6.35话筒插头</w:t>
            </w:r>
          </w:p>
        </w:tc>
        <w:tc>
          <w:tcPr>
            <w:tcW w:w="806" w:type="dxa"/>
            <w:shd w:val="clear" w:color="auto" w:fill="auto"/>
            <w:noWrap/>
            <w:vAlign w:val="center"/>
          </w:tcPr>
          <w:p w14:paraId="5854BB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14" w:type="dxa"/>
            <w:shd w:val="clear" w:color="auto" w:fill="auto"/>
            <w:vAlign w:val="center"/>
          </w:tcPr>
          <w:p w14:paraId="58CEC3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54" w:type="dxa"/>
            <w:shd w:val="clear" w:color="auto" w:fill="auto"/>
            <w:vAlign w:val="center"/>
          </w:tcPr>
          <w:p w14:paraId="575863CD">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762D35F1">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42928983">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15F6E9E4">
            <w:pPr>
              <w:jc w:val="center"/>
              <w:rPr>
                <w:rFonts w:hint="eastAsia" w:ascii="宋体" w:hAnsi="宋体" w:eastAsia="宋体" w:cs="宋体"/>
                <w:i w:val="0"/>
                <w:iCs w:val="0"/>
                <w:color w:val="000000"/>
                <w:sz w:val="21"/>
                <w:szCs w:val="21"/>
                <w:u w:val="none"/>
              </w:rPr>
            </w:pPr>
          </w:p>
        </w:tc>
      </w:tr>
      <w:tr w14:paraId="38A0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503" w:type="dxa"/>
            <w:shd w:val="clear" w:color="auto" w:fill="auto"/>
            <w:noWrap/>
            <w:vAlign w:val="center"/>
          </w:tcPr>
          <w:p w14:paraId="3E57D1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03" w:type="dxa"/>
            <w:shd w:val="clear" w:color="auto" w:fill="auto"/>
            <w:vAlign w:val="center"/>
          </w:tcPr>
          <w:p w14:paraId="78CBBA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机柜</w:t>
            </w:r>
          </w:p>
        </w:tc>
        <w:tc>
          <w:tcPr>
            <w:tcW w:w="8049" w:type="dxa"/>
            <w:shd w:val="clear" w:color="auto" w:fill="auto"/>
            <w:vAlign w:val="center"/>
          </w:tcPr>
          <w:p w14:paraId="787B8E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42U，600*800*2000，钢化玻璃门</w:t>
            </w:r>
          </w:p>
        </w:tc>
        <w:tc>
          <w:tcPr>
            <w:tcW w:w="806" w:type="dxa"/>
            <w:shd w:val="clear" w:color="auto" w:fill="auto"/>
            <w:vAlign w:val="center"/>
          </w:tcPr>
          <w:p w14:paraId="3A1FF2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14" w:type="dxa"/>
            <w:shd w:val="clear" w:color="auto" w:fill="auto"/>
            <w:vAlign w:val="center"/>
          </w:tcPr>
          <w:p w14:paraId="61CAF8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54" w:type="dxa"/>
            <w:shd w:val="clear" w:color="auto" w:fill="auto"/>
            <w:vAlign w:val="center"/>
          </w:tcPr>
          <w:p w14:paraId="0F2EDF89">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7F47135E">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4049E9A7">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5A26D44D">
            <w:pPr>
              <w:jc w:val="center"/>
              <w:rPr>
                <w:rFonts w:hint="eastAsia" w:ascii="宋体" w:hAnsi="宋体" w:eastAsia="宋体" w:cs="宋体"/>
                <w:i w:val="0"/>
                <w:iCs w:val="0"/>
                <w:color w:val="000000"/>
                <w:sz w:val="21"/>
                <w:szCs w:val="21"/>
                <w:u w:val="none"/>
              </w:rPr>
            </w:pPr>
          </w:p>
        </w:tc>
      </w:tr>
      <w:tr w14:paraId="0435F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03" w:type="dxa"/>
            <w:shd w:val="clear" w:color="auto" w:fill="auto"/>
            <w:noWrap/>
            <w:vAlign w:val="center"/>
          </w:tcPr>
          <w:p w14:paraId="2562CB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303" w:type="dxa"/>
            <w:shd w:val="clear" w:color="auto" w:fill="auto"/>
            <w:vAlign w:val="center"/>
          </w:tcPr>
          <w:p w14:paraId="780DA3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音箱线</w:t>
            </w:r>
          </w:p>
        </w:tc>
        <w:tc>
          <w:tcPr>
            <w:tcW w:w="8049" w:type="dxa"/>
            <w:shd w:val="clear" w:color="auto" w:fill="auto"/>
            <w:vAlign w:val="center"/>
          </w:tcPr>
          <w:p w14:paraId="2C36AC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纯铜带神经线300芯蓝色金银音响线喇叭线</w:t>
            </w:r>
          </w:p>
        </w:tc>
        <w:tc>
          <w:tcPr>
            <w:tcW w:w="806" w:type="dxa"/>
            <w:shd w:val="clear" w:color="auto" w:fill="auto"/>
            <w:noWrap/>
            <w:vAlign w:val="center"/>
          </w:tcPr>
          <w:p w14:paraId="715C6E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514" w:type="dxa"/>
            <w:shd w:val="clear" w:color="auto" w:fill="auto"/>
            <w:vAlign w:val="center"/>
          </w:tcPr>
          <w:p w14:paraId="20A433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54" w:type="dxa"/>
            <w:shd w:val="clear" w:color="auto" w:fill="auto"/>
            <w:vAlign w:val="center"/>
          </w:tcPr>
          <w:p w14:paraId="23C4C388">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3CD1355F">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17FBF24B">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0E9A9B59">
            <w:pPr>
              <w:jc w:val="center"/>
              <w:rPr>
                <w:rFonts w:hint="eastAsia" w:ascii="宋体" w:hAnsi="宋体" w:eastAsia="宋体" w:cs="宋体"/>
                <w:i w:val="0"/>
                <w:iCs w:val="0"/>
                <w:color w:val="000000"/>
                <w:sz w:val="21"/>
                <w:szCs w:val="21"/>
                <w:u w:val="none"/>
              </w:rPr>
            </w:pPr>
          </w:p>
        </w:tc>
      </w:tr>
      <w:tr w14:paraId="2CF14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03" w:type="dxa"/>
            <w:shd w:val="clear" w:color="auto" w:fill="auto"/>
            <w:noWrap/>
            <w:vAlign w:val="center"/>
          </w:tcPr>
          <w:p w14:paraId="0DA934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303" w:type="dxa"/>
            <w:shd w:val="clear" w:color="auto" w:fill="auto"/>
            <w:vAlign w:val="center"/>
          </w:tcPr>
          <w:p w14:paraId="6EDED0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电源线</w:t>
            </w:r>
          </w:p>
        </w:tc>
        <w:tc>
          <w:tcPr>
            <w:tcW w:w="8049" w:type="dxa"/>
            <w:shd w:val="clear" w:color="auto" w:fill="auto"/>
            <w:vAlign w:val="center"/>
          </w:tcPr>
          <w:p w14:paraId="75E6A9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RVV电线电缆 国标纯铜环保 RVV3*2.5</w:t>
            </w:r>
          </w:p>
        </w:tc>
        <w:tc>
          <w:tcPr>
            <w:tcW w:w="806" w:type="dxa"/>
            <w:shd w:val="clear" w:color="auto" w:fill="auto"/>
            <w:noWrap/>
            <w:vAlign w:val="center"/>
          </w:tcPr>
          <w:p w14:paraId="18327D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514" w:type="dxa"/>
            <w:shd w:val="clear" w:color="auto" w:fill="auto"/>
            <w:vAlign w:val="center"/>
          </w:tcPr>
          <w:p w14:paraId="6030D1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54" w:type="dxa"/>
            <w:shd w:val="clear" w:color="auto" w:fill="auto"/>
            <w:vAlign w:val="center"/>
          </w:tcPr>
          <w:p w14:paraId="333AF6BD">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554B1B36">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2A2FE4F4">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301562D2">
            <w:pPr>
              <w:jc w:val="center"/>
              <w:rPr>
                <w:rFonts w:hint="eastAsia" w:ascii="宋体" w:hAnsi="宋体" w:eastAsia="宋体" w:cs="宋体"/>
                <w:i w:val="0"/>
                <w:iCs w:val="0"/>
                <w:color w:val="000000"/>
                <w:sz w:val="21"/>
                <w:szCs w:val="21"/>
                <w:u w:val="none"/>
              </w:rPr>
            </w:pPr>
          </w:p>
        </w:tc>
      </w:tr>
      <w:tr w14:paraId="5763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03" w:type="dxa"/>
            <w:shd w:val="clear" w:color="auto" w:fill="auto"/>
            <w:noWrap/>
            <w:vAlign w:val="center"/>
          </w:tcPr>
          <w:p w14:paraId="58BFF3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303" w:type="dxa"/>
            <w:shd w:val="clear" w:color="auto" w:fill="auto"/>
            <w:vAlign w:val="center"/>
          </w:tcPr>
          <w:p w14:paraId="7A52DA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穿线管</w:t>
            </w:r>
          </w:p>
        </w:tc>
        <w:tc>
          <w:tcPr>
            <w:tcW w:w="8049" w:type="dxa"/>
            <w:shd w:val="clear" w:color="auto" w:fill="auto"/>
            <w:vAlign w:val="center"/>
          </w:tcPr>
          <w:p w14:paraId="762041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JDG25</w:t>
            </w:r>
          </w:p>
        </w:tc>
        <w:tc>
          <w:tcPr>
            <w:tcW w:w="806" w:type="dxa"/>
            <w:shd w:val="clear" w:color="auto" w:fill="auto"/>
            <w:noWrap/>
            <w:vAlign w:val="center"/>
          </w:tcPr>
          <w:p w14:paraId="7452D1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514" w:type="dxa"/>
            <w:shd w:val="clear" w:color="auto" w:fill="auto"/>
            <w:vAlign w:val="center"/>
          </w:tcPr>
          <w:p w14:paraId="1782D4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54" w:type="dxa"/>
            <w:shd w:val="clear" w:color="auto" w:fill="auto"/>
            <w:vAlign w:val="center"/>
          </w:tcPr>
          <w:p w14:paraId="40DC62DF">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18AE7192">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7D4D58BB">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0FBC53AD">
            <w:pPr>
              <w:jc w:val="center"/>
              <w:rPr>
                <w:rFonts w:hint="eastAsia" w:ascii="宋体" w:hAnsi="宋体" w:eastAsia="宋体" w:cs="宋体"/>
                <w:i w:val="0"/>
                <w:iCs w:val="0"/>
                <w:color w:val="000000"/>
                <w:sz w:val="21"/>
                <w:szCs w:val="21"/>
                <w:u w:val="none"/>
              </w:rPr>
            </w:pPr>
          </w:p>
        </w:tc>
      </w:tr>
      <w:tr w14:paraId="3A4EA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03" w:type="dxa"/>
            <w:shd w:val="clear" w:color="auto" w:fill="auto"/>
            <w:noWrap/>
            <w:vAlign w:val="center"/>
          </w:tcPr>
          <w:p w14:paraId="76A9D6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03" w:type="dxa"/>
            <w:shd w:val="clear" w:color="auto" w:fill="auto"/>
            <w:vAlign w:val="center"/>
          </w:tcPr>
          <w:p w14:paraId="6AAB7C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辅助材料</w:t>
            </w:r>
          </w:p>
        </w:tc>
        <w:tc>
          <w:tcPr>
            <w:tcW w:w="8049" w:type="dxa"/>
            <w:shd w:val="clear" w:color="auto" w:fill="auto"/>
            <w:vAlign w:val="center"/>
          </w:tcPr>
          <w:p w14:paraId="15E099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含接插件、专用插座、紧固件、膨胀螺栓等</w:t>
            </w:r>
          </w:p>
        </w:tc>
        <w:tc>
          <w:tcPr>
            <w:tcW w:w="806" w:type="dxa"/>
            <w:shd w:val="clear" w:color="auto" w:fill="auto"/>
            <w:noWrap/>
            <w:vAlign w:val="center"/>
          </w:tcPr>
          <w:p w14:paraId="37B070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14" w:type="dxa"/>
            <w:shd w:val="clear" w:color="auto" w:fill="auto"/>
            <w:noWrap/>
            <w:vAlign w:val="center"/>
          </w:tcPr>
          <w:p w14:paraId="7960C0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w:t>
            </w:r>
          </w:p>
        </w:tc>
        <w:tc>
          <w:tcPr>
            <w:tcW w:w="754" w:type="dxa"/>
            <w:shd w:val="clear" w:color="auto" w:fill="auto"/>
            <w:noWrap/>
            <w:vAlign w:val="center"/>
          </w:tcPr>
          <w:p w14:paraId="16A56722">
            <w:pPr>
              <w:jc w:val="center"/>
              <w:rPr>
                <w:rFonts w:hint="eastAsia" w:ascii="宋体" w:hAnsi="宋体" w:eastAsia="宋体" w:cs="宋体"/>
                <w:i w:val="0"/>
                <w:iCs w:val="0"/>
                <w:color w:val="000000"/>
                <w:sz w:val="21"/>
                <w:szCs w:val="21"/>
                <w:u w:val="none"/>
              </w:rPr>
            </w:pPr>
          </w:p>
        </w:tc>
        <w:tc>
          <w:tcPr>
            <w:tcW w:w="900" w:type="dxa"/>
            <w:shd w:val="clear" w:color="auto" w:fill="auto"/>
            <w:noWrap/>
            <w:vAlign w:val="center"/>
          </w:tcPr>
          <w:p w14:paraId="560291A9">
            <w:pPr>
              <w:jc w:val="center"/>
              <w:rPr>
                <w:rFonts w:hint="eastAsia" w:ascii="宋体" w:hAnsi="宋体" w:eastAsia="宋体" w:cs="宋体"/>
                <w:i w:val="0"/>
                <w:iCs w:val="0"/>
                <w:color w:val="000000"/>
                <w:sz w:val="21"/>
                <w:szCs w:val="21"/>
                <w:u w:val="none"/>
              </w:rPr>
            </w:pPr>
          </w:p>
        </w:tc>
        <w:tc>
          <w:tcPr>
            <w:tcW w:w="1080" w:type="dxa"/>
            <w:shd w:val="clear" w:color="auto" w:fill="auto"/>
            <w:noWrap/>
            <w:vAlign w:val="center"/>
          </w:tcPr>
          <w:p w14:paraId="00D6253A">
            <w:pPr>
              <w:jc w:val="center"/>
              <w:rPr>
                <w:rFonts w:hint="eastAsia" w:ascii="宋体" w:hAnsi="宋体" w:eastAsia="宋体" w:cs="宋体"/>
                <w:i w:val="0"/>
                <w:iCs w:val="0"/>
                <w:color w:val="000000"/>
                <w:sz w:val="21"/>
                <w:szCs w:val="21"/>
                <w:u w:val="none"/>
              </w:rPr>
            </w:pPr>
          </w:p>
        </w:tc>
        <w:tc>
          <w:tcPr>
            <w:tcW w:w="777" w:type="dxa"/>
            <w:shd w:val="clear" w:color="auto" w:fill="auto"/>
            <w:noWrap/>
            <w:vAlign w:val="center"/>
          </w:tcPr>
          <w:p w14:paraId="5A1770E7">
            <w:pPr>
              <w:jc w:val="center"/>
              <w:rPr>
                <w:rFonts w:hint="eastAsia" w:ascii="宋体" w:hAnsi="宋体" w:eastAsia="宋体" w:cs="宋体"/>
                <w:i w:val="0"/>
                <w:iCs w:val="0"/>
                <w:color w:val="000000"/>
                <w:sz w:val="21"/>
                <w:szCs w:val="21"/>
                <w:u w:val="none"/>
              </w:rPr>
            </w:pPr>
          </w:p>
        </w:tc>
      </w:tr>
      <w:tr w14:paraId="5436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7" w:hRule="atLeast"/>
        </w:trPr>
        <w:tc>
          <w:tcPr>
            <w:tcW w:w="13909" w:type="dxa"/>
            <w:gridSpan w:val="8"/>
            <w:shd w:val="clear" w:color="auto" w:fill="auto"/>
            <w:noWrap/>
            <w:vAlign w:val="center"/>
          </w:tcPr>
          <w:p w14:paraId="31084F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含税总价（元）</w:t>
            </w:r>
          </w:p>
        </w:tc>
        <w:tc>
          <w:tcPr>
            <w:tcW w:w="777" w:type="dxa"/>
            <w:shd w:val="clear" w:color="auto" w:fill="auto"/>
            <w:noWrap/>
            <w:vAlign w:val="center"/>
          </w:tcPr>
          <w:p w14:paraId="17FA0B9E">
            <w:pPr>
              <w:rPr>
                <w:rFonts w:hint="eastAsia" w:ascii="宋体" w:hAnsi="宋体" w:eastAsia="宋体" w:cs="宋体"/>
                <w:i w:val="0"/>
                <w:iCs w:val="0"/>
                <w:color w:val="000000"/>
                <w:sz w:val="21"/>
                <w:szCs w:val="21"/>
                <w:u w:val="none"/>
              </w:rPr>
            </w:pPr>
          </w:p>
        </w:tc>
      </w:tr>
    </w:tbl>
    <w:p w14:paraId="1F75DF41">
      <w:pPr>
        <w:jc w:val="left"/>
        <w:rPr>
          <w:rFonts w:hint="eastAsia" w:ascii="宋体" w:hAnsi="宋体" w:cs="宋体"/>
          <w:b/>
          <w:sz w:val="32"/>
          <w:szCs w:val="32"/>
        </w:rPr>
      </w:pPr>
    </w:p>
    <w:p w14:paraId="3B1E6A37"/>
    <w:p w14:paraId="52C05150">
      <w:pPr>
        <w:spacing w:line="280" w:lineRule="exact"/>
        <w:rPr>
          <w:szCs w:val="21"/>
        </w:rPr>
      </w:pPr>
      <w:r>
        <w:rPr>
          <w:szCs w:val="21"/>
        </w:rPr>
        <w:t>法定代表人或代理人（签字或盖章）：</w:t>
      </w:r>
    </w:p>
    <w:p w14:paraId="04DDD5E3">
      <w:pPr>
        <w:pStyle w:val="40"/>
        <w:rPr>
          <w:rFonts w:ascii="Times New Roman" w:cs="Times New Roman"/>
          <w:szCs w:val="21"/>
        </w:rPr>
      </w:pPr>
    </w:p>
    <w:p w14:paraId="52A244D5">
      <w:pPr>
        <w:pStyle w:val="5"/>
        <w:overflowPunct w:val="0"/>
        <w:spacing w:line="500" w:lineRule="exact"/>
        <w:rPr>
          <w:rFonts w:ascii="Times New Roman"/>
          <w:sz w:val="21"/>
          <w:szCs w:val="21"/>
        </w:rPr>
      </w:pPr>
      <w:r>
        <w:rPr>
          <w:rFonts w:ascii="Times New Roman"/>
          <w:sz w:val="21"/>
          <w:szCs w:val="21"/>
        </w:rPr>
        <w:t>年</w:t>
      </w:r>
      <w:r>
        <w:rPr>
          <w:rFonts w:ascii="Times New Roman"/>
          <w:sz w:val="21"/>
          <w:szCs w:val="21"/>
        </w:rPr>
        <w:tab/>
      </w:r>
      <w:r>
        <w:rPr>
          <w:rFonts w:ascii="Times New Roman"/>
          <w:sz w:val="21"/>
          <w:szCs w:val="21"/>
        </w:rPr>
        <w:t xml:space="preserve"> 月 </w:t>
      </w:r>
      <w:r>
        <w:rPr>
          <w:rFonts w:ascii="Times New Roman"/>
          <w:sz w:val="21"/>
          <w:szCs w:val="21"/>
        </w:rPr>
        <w:tab/>
      </w:r>
      <w:r>
        <w:rPr>
          <w:rFonts w:ascii="Times New Roman"/>
          <w:sz w:val="21"/>
          <w:szCs w:val="21"/>
        </w:rPr>
        <w:t>日</w:t>
      </w:r>
    </w:p>
    <w:p w14:paraId="48E13973">
      <w:pPr>
        <w:pStyle w:val="24"/>
        <w:rPr>
          <w:rFonts w:hint="eastAsia"/>
        </w:rPr>
      </w:pPr>
    </w:p>
    <w:p w14:paraId="7B05386E">
      <w:pPr>
        <w:pStyle w:val="24"/>
        <w:rPr>
          <w:rFonts w:hint="eastAsia"/>
        </w:rPr>
      </w:pPr>
    </w:p>
    <w:p w14:paraId="23782302">
      <w:pPr>
        <w:pStyle w:val="24"/>
        <w:ind w:left="0" w:leftChars="0" w:firstLine="0" w:firstLineChars="0"/>
        <w:rPr>
          <w:rFonts w:hint="eastAsia"/>
        </w:rPr>
        <w:sectPr>
          <w:pgSz w:w="16838" w:h="11906" w:orient="landscape"/>
          <w:pgMar w:top="1440" w:right="1440" w:bottom="1440" w:left="1440" w:header="851" w:footer="992" w:gutter="0"/>
          <w:cols w:space="720" w:num="1"/>
          <w:docGrid w:linePitch="312" w:charSpace="0"/>
        </w:sectPr>
      </w:pPr>
    </w:p>
    <w:p w14:paraId="17DA5917">
      <w:pPr>
        <w:pStyle w:val="24"/>
        <w:ind w:left="0" w:leftChars="0" w:firstLine="0" w:firstLineChars="0"/>
        <w:rPr>
          <w:rFonts w:hint="eastAsia"/>
        </w:rPr>
      </w:pPr>
    </w:p>
    <w:p w14:paraId="66CBCDC2">
      <w:pPr>
        <w:pStyle w:val="5"/>
        <w:overflowPunct w:val="0"/>
        <w:spacing w:line="500" w:lineRule="exact"/>
        <w:ind w:firstLine="0"/>
        <w:rPr>
          <w:rFonts w:ascii="Times New Roman"/>
          <w:b/>
          <w:color w:val="000000"/>
          <w:sz w:val="32"/>
          <w:szCs w:val="32"/>
        </w:rPr>
      </w:pPr>
      <w:r>
        <w:rPr>
          <w:rFonts w:ascii="Times New Roman"/>
          <w:b/>
          <w:color w:val="000000"/>
          <w:sz w:val="32"/>
          <w:szCs w:val="32"/>
        </w:rPr>
        <w:t>附件</w:t>
      </w:r>
      <w:r>
        <w:rPr>
          <w:rFonts w:hint="eastAsia" w:ascii="Times New Roman"/>
          <w:b/>
          <w:color w:val="000000"/>
          <w:sz w:val="32"/>
          <w:szCs w:val="32"/>
        </w:rPr>
        <w:t>4</w:t>
      </w:r>
      <w:r>
        <w:rPr>
          <w:rFonts w:ascii="Times New Roman"/>
          <w:b/>
          <w:color w:val="000000"/>
          <w:sz w:val="32"/>
          <w:szCs w:val="32"/>
        </w:rPr>
        <w:t>：承诺函</w:t>
      </w:r>
    </w:p>
    <w:p w14:paraId="3C2659B0">
      <w:pPr>
        <w:pStyle w:val="5"/>
        <w:overflowPunct w:val="0"/>
        <w:spacing w:line="500" w:lineRule="exact"/>
        <w:jc w:val="center"/>
        <w:rPr>
          <w:rFonts w:ascii="Times New Roman"/>
          <w:b/>
          <w:color w:val="000000"/>
          <w:sz w:val="32"/>
          <w:szCs w:val="32"/>
        </w:rPr>
      </w:pPr>
      <w:r>
        <w:rPr>
          <w:rFonts w:ascii="Times New Roman"/>
          <w:b/>
          <w:color w:val="000000"/>
          <w:sz w:val="32"/>
          <w:szCs w:val="32"/>
        </w:rPr>
        <w:t>承 诺 函</w:t>
      </w:r>
    </w:p>
    <w:p w14:paraId="2F2607E5">
      <w:pPr>
        <w:pStyle w:val="5"/>
        <w:overflowPunct w:val="0"/>
        <w:spacing w:line="500" w:lineRule="exact"/>
        <w:jc w:val="center"/>
        <w:rPr>
          <w:rFonts w:ascii="Times New Roman"/>
          <w:color w:val="000000"/>
        </w:rPr>
      </w:pPr>
    </w:p>
    <w:p w14:paraId="14A7F479">
      <w:pPr>
        <w:adjustRightInd w:val="0"/>
        <w:snapToGrid w:val="0"/>
        <w:spacing w:line="460" w:lineRule="exact"/>
        <w:rPr>
          <w:sz w:val="24"/>
          <w:u w:val="single"/>
        </w:rPr>
      </w:pPr>
      <w:r>
        <w:rPr>
          <w:rFonts w:hint="eastAsia"/>
          <w:sz w:val="24"/>
          <w:u w:val="single"/>
        </w:rPr>
        <w:t>江苏中吴常高新环保产业有限公司：</w:t>
      </w:r>
    </w:p>
    <w:p w14:paraId="30A80AB2">
      <w:pPr>
        <w:pStyle w:val="62"/>
        <w:spacing w:line="420" w:lineRule="exact"/>
        <w:rPr>
          <w:rFonts w:ascii="Times New Roman" w:hAnsi="Times New Roman"/>
          <w:sz w:val="24"/>
          <w:szCs w:val="24"/>
          <w:u w:val="single"/>
        </w:rPr>
      </w:pPr>
      <w:r>
        <w:rPr>
          <w:rFonts w:hint="eastAsia" w:ascii="Times New Roman" w:hAnsi="Times New Roman"/>
          <w:sz w:val="24"/>
          <w:szCs w:val="24"/>
          <w:u w:val="single"/>
        </w:rPr>
        <w:t>江苏恒卓工程管理咨询有限公司：</w:t>
      </w:r>
    </w:p>
    <w:p w14:paraId="07A270F8">
      <w:pPr>
        <w:pStyle w:val="5"/>
        <w:overflowPunct w:val="0"/>
        <w:spacing w:line="500" w:lineRule="exact"/>
        <w:ind w:firstLine="660"/>
        <w:rPr>
          <w:rFonts w:ascii="Times New Roman"/>
          <w:color w:val="000000"/>
        </w:rPr>
      </w:pPr>
    </w:p>
    <w:p w14:paraId="6F186BE9">
      <w:pPr>
        <w:pStyle w:val="5"/>
        <w:overflowPunct w:val="0"/>
        <w:spacing w:line="500" w:lineRule="exact"/>
        <w:ind w:firstLine="660"/>
        <w:rPr>
          <w:rFonts w:ascii="Times New Roman"/>
        </w:rPr>
      </w:pPr>
      <w:r>
        <w:rPr>
          <w:rFonts w:ascii="Times New Roman"/>
        </w:rPr>
        <w:t>本公司愿意参加贵公司组织实施的编号为</w:t>
      </w:r>
      <w:r>
        <w:rPr>
          <w:rFonts w:ascii="Times New Roman"/>
          <w:u w:val="single"/>
        </w:rPr>
        <w:t xml:space="preserve">          </w:t>
      </w:r>
      <w:r>
        <w:rPr>
          <w:rFonts w:ascii="Times New Roman"/>
        </w:rPr>
        <w:t>号的招标活动。本公司承诺：</w:t>
      </w:r>
    </w:p>
    <w:p w14:paraId="268A6355">
      <w:pPr>
        <w:spacing w:line="360" w:lineRule="auto"/>
        <w:ind w:firstLine="480" w:firstLineChars="200"/>
        <w:rPr>
          <w:rFonts w:ascii="宋体" w:hAnsi="宋体" w:cs="宋体"/>
          <w:sz w:val="24"/>
        </w:rPr>
      </w:pPr>
      <w:r>
        <w:rPr>
          <w:rFonts w:hint="eastAsia" w:ascii="宋体" w:hAnsi="宋体" w:cs="宋体"/>
          <w:sz w:val="24"/>
        </w:rPr>
        <w:t xml:space="preserve">1. 具有独立承担民事责任的能力； </w:t>
      </w:r>
    </w:p>
    <w:p w14:paraId="33F31C11">
      <w:pPr>
        <w:spacing w:line="360" w:lineRule="auto"/>
        <w:ind w:firstLine="480" w:firstLineChars="200"/>
        <w:rPr>
          <w:rFonts w:ascii="宋体" w:hAnsi="宋体" w:cs="宋体"/>
          <w:sz w:val="24"/>
        </w:rPr>
      </w:pPr>
      <w:r>
        <w:rPr>
          <w:rFonts w:hint="eastAsia" w:ascii="宋体" w:hAnsi="宋体" w:cs="宋体"/>
          <w:sz w:val="24"/>
        </w:rPr>
        <w:t xml:space="preserve">2. 具有良好的商业信誉和健全的财务会计制度； </w:t>
      </w:r>
    </w:p>
    <w:p w14:paraId="659AF3AF">
      <w:pPr>
        <w:spacing w:line="360" w:lineRule="auto"/>
        <w:ind w:firstLine="480" w:firstLineChars="200"/>
        <w:rPr>
          <w:rFonts w:ascii="宋体" w:hAnsi="宋体" w:cs="宋体"/>
          <w:sz w:val="24"/>
        </w:rPr>
      </w:pPr>
      <w:r>
        <w:rPr>
          <w:rFonts w:hint="eastAsia" w:ascii="宋体" w:hAnsi="宋体" w:cs="宋体"/>
          <w:sz w:val="24"/>
        </w:rPr>
        <w:t xml:space="preserve">3. 具有履行合同所必须的设备和专业技术能力； </w:t>
      </w:r>
    </w:p>
    <w:p w14:paraId="6E3B3277">
      <w:pPr>
        <w:spacing w:line="360" w:lineRule="auto"/>
        <w:ind w:firstLine="480" w:firstLineChars="200"/>
        <w:rPr>
          <w:rFonts w:ascii="宋体" w:hAnsi="宋体" w:cs="宋体"/>
          <w:sz w:val="24"/>
        </w:rPr>
      </w:pPr>
      <w:r>
        <w:rPr>
          <w:rFonts w:hint="eastAsia" w:ascii="宋体" w:hAnsi="宋体" w:cs="宋体"/>
          <w:sz w:val="24"/>
        </w:rPr>
        <w:t xml:space="preserve">4. 有依法缴纳税收和社会保障资金的良好记录； </w:t>
      </w:r>
    </w:p>
    <w:p w14:paraId="715FAD01">
      <w:pPr>
        <w:spacing w:line="360" w:lineRule="auto"/>
        <w:ind w:firstLine="480" w:firstLineChars="200"/>
        <w:rPr>
          <w:rFonts w:ascii="宋体" w:hAnsi="宋体" w:cs="宋体"/>
          <w:sz w:val="24"/>
        </w:rPr>
      </w:pPr>
      <w:r>
        <w:rPr>
          <w:rFonts w:hint="eastAsia" w:ascii="宋体" w:hAnsi="宋体" w:cs="宋体"/>
          <w:sz w:val="24"/>
        </w:rPr>
        <w:t>5. 参加政府采购活动前三年内，在经营活动中没有重大违法记录；</w:t>
      </w:r>
    </w:p>
    <w:p w14:paraId="0F2628A3">
      <w:pPr>
        <w:spacing w:line="360" w:lineRule="auto"/>
        <w:ind w:firstLine="480" w:firstLineChars="200"/>
        <w:rPr>
          <w:rFonts w:ascii="宋体" w:hAnsi="宋体" w:cs="宋体"/>
          <w:sz w:val="24"/>
        </w:rPr>
      </w:pPr>
      <w:r>
        <w:rPr>
          <w:rFonts w:hint="eastAsia" w:ascii="宋体" w:hAnsi="宋体" w:cs="宋体"/>
          <w:sz w:val="24"/>
        </w:rPr>
        <w:t>6. 法律、行政法规规定的其他条件</w:t>
      </w:r>
    </w:p>
    <w:p w14:paraId="727F7C33">
      <w:pPr>
        <w:spacing w:line="360" w:lineRule="auto"/>
        <w:ind w:firstLine="480" w:firstLineChars="200"/>
        <w:rPr>
          <w:rFonts w:ascii="宋体" w:hAnsi="宋体" w:cs="宋体"/>
          <w:sz w:val="24"/>
        </w:rPr>
      </w:pPr>
      <w:r>
        <w:rPr>
          <w:rFonts w:hint="eastAsia" w:ascii="宋体" w:hAnsi="宋体" w:cs="宋体"/>
          <w:sz w:val="24"/>
        </w:rPr>
        <w:t>7. 本公司提交的投标文件中所有关于供应商资格的文件、证明和陈述均是真实的、准确的。</w:t>
      </w:r>
    </w:p>
    <w:p w14:paraId="29028A07">
      <w:pPr>
        <w:spacing w:line="360" w:lineRule="auto"/>
        <w:ind w:firstLine="482" w:firstLineChars="200"/>
        <w:rPr>
          <w:rFonts w:ascii="宋体" w:hAnsi="宋体" w:cs="宋体"/>
          <w:b/>
          <w:bCs/>
          <w:sz w:val="24"/>
        </w:rPr>
      </w:pPr>
    </w:p>
    <w:p w14:paraId="0740425C">
      <w:pPr>
        <w:spacing w:line="360" w:lineRule="auto"/>
        <w:ind w:firstLine="480" w:firstLineChars="200"/>
        <w:rPr>
          <w:rFonts w:ascii="宋体" w:hAnsi="宋体" w:cs="宋体"/>
          <w:sz w:val="24"/>
        </w:rPr>
      </w:pPr>
    </w:p>
    <w:p w14:paraId="041A302A">
      <w:pPr>
        <w:spacing w:line="360" w:lineRule="auto"/>
        <w:ind w:firstLine="480" w:firstLineChars="200"/>
        <w:rPr>
          <w:rFonts w:ascii="宋体" w:hAnsi="宋体" w:cs="宋体"/>
          <w:sz w:val="24"/>
        </w:rPr>
      </w:pPr>
      <w:r>
        <w:rPr>
          <w:rFonts w:hint="eastAsia" w:ascii="宋体" w:hAnsi="宋体" w:cs="宋体"/>
          <w:sz w:val="24"/>
        </w:rPr>
        <w:t>若与真实情况不符，本公司愿意承担由此而产生的一切后果。</w:t>
      </w:r>
    </w:p>
    <w:p w14:paraId="46F497B5">
      <w:pPr>
        <w:pStyle w:val="5"/>
        <w:overflowPunct w:val="0"/>
        <w:spacing w:line="500" w:lineRule="exact"/>
        <w:rPr>
          <w:rFonts w:ascii="Times New Roman"/>
        </w:rPr>
      </w:pPr>
    </w:p>
    <w:p w14:paraId="6BFDB7D7">
      <w:pPr>
        <w:pStyle w:val="5"/>
        <w:overflowPunct w:val="0"/>
        <w:spacing w:line="500" w:lineRule="exact"/>
        <w:rPr>
          <w:rFonts w:ascii="Times New Roman"/>
        </w:rPr>
      </w:pPr>
      <w:r>
        <w:rPr>
          <w:rFonts w:ascii="Times New Roman"/>
        </w:rPr>
        <w:tab/>
      </w:r>
      <w:r>
        <w:rPr>
          <w:rFonts w:ascii="Times New Roman"/>
        </w:rPr>
        <w:tab/>
      </w:r>
      <w:r>
        <w:rPr>
          <w:rFonts w:ascii="Times New Roman"/>
        </w:rPr>
        <w:tab/>
      </w:r>
      <w:r>
        <w:rPr>
          <w:rFonts w:ascii="Times New Roman"/>
        </w:rPr>
        <w:tab/>
      </w:r>
      <w:r>
        <w:rPr>
          <w:rFonts w:ascii="Times New Roman"/>
        </w:rPr>
        <w:t xml:space="preserve">        法定代表人或代理人（签字或盖章）：</w:t>
      </w:r>
    </w:p>
    <w:p w14:paraId="62F43898">
      <w:pPr>
        <w:pStyle w:val="5"/>
        <w:overflowPunct w:val="0"/>
        <w:spacing w:line="500" w:lineRule="exact"/>
        <w:ind w:left="1700" w:firstLine="425"/>
        <w:rPr>
          <w:rFonts w:ascii="Times New Roman"/>
        </w:rPr>
      </w:pPr>
      <w:r>
        <w:rPr>
          <w:rFonts w:ascii="Times New Roman"/>
        </w:rPr>
        <w:t xml:space="preserve">        </w:t>
      </w:r>
      <w:r>
        <w:rPr>
          <w:rFonts w:hint="eastAsia" w:ascii="Times New Roman"/>
        </w:rPr>
        <w:t>供应商</w:t>
      </w:r>
      <w:r>
        <w:rPr>
          <w:rFonts w:ascii="Times New Roman"/>
        </w:rPr>
        <w:t>（盖章）：</w:t>
      </w:r>
    </w:p>
    <w:p w14:paraId="656A7DE6">
      <w:pPr>
        <w:pStyle w:val="5"/>
        <w:overflowPunct w:val="0"/>
        <w:spacing w:line="500" w:lineRule="exact"/>
        <w:rPr>
          <w:rFonts w:ascii="Times New Roman"/>
        </w:rPr>
      </w:pPr>
      <w:r>
        <w:rPr>
          <w:rFonts w:ascii="Times New Roman"/>
        </w:rPr>
        <w:t xml:space="preserve">               </w:t>
      </w:r>
    </w:p>
    <w:p w14:paraId="01C0E888">
      <w:pPr>
        <w:pStyle w:val="5"/>
        <w:overflowPunct w:val="0"/>
        <w:spacing w:line="500" w:lineRule="exact"/>
        <w:ind w:left="3507" w:firstLine="1145"/>
        <w:rPr>
          <w:rFonts w:ascii="Times New Roman"/>
        </w:rPr>
      </w:pPr>
      <w:r>
        <w:rPr>
          <w:rFonts w:ascii="Times New Roman"/>
        </w:rPr>
        <w:t>年</w:t>
      </w:r>
      <w:r>
        <w:rPr>
          <w:rFonts w:ascii="Times New Roman"/>
        </w:rPr>
        <w:tab/>
      </w:r>
      <w:r>
        <w:rPr>
          <w:rFonts w:ascii="Times New Roman"/>
        </w:rPr>
        <w:t xml:space="preserve"> 月 </w:t>
      </w:r>
      <w:r>
        <w:rPr>
          <w:rFonts w:ascii="Times New Roman"/>
        </w:rPr>
        <w:tab/>
      </w:r>
      <w:r>
        <w:rPr>
          <w:rFonts w:ascii="Times New Roman"/>
        </w:rPr>
        <w:t>日</w:t>
      </w:r>
    </w:p>
    <w:p w14:paraId="2854B0FD">
      <w:pPr>
        <w:pStyle w:val="5"/>
        <w:overflowPunct w:val="0"/>
        <w:spacing w:line="500" w:lineRule="exact"/>
        <w:ind w:firstLine="0"/>
        <w:rPr>
          <w:rFonts w:ascii="Times New Roman"/>
          <w:b/>
          <w:bCs/>
          <w:color w:val="000000"/>
          <w:sz w:val="32"/>
          <w:szCs w:val="32"/>
        </w:rPr>
      </w:pPr>
    </w:p>
    <w:p w14:paraId="3389AC09">
      <w:pPr>
        <w:pStyle w:val="24"/>
        <w:ind w:left="0" w:leftChars="0" w:firstLine="0" w:firstLineChars="0"/>
        <w:rPr>
          <w:rFonts w:hint="eastAsia"/>
        </w:rPr>
        <w:sectPr>
          <w:pgSz w:w="11906" w:h="16838"/>
          <w:pgMar w:top="1440" w:right="1440" w:bottom="1440" w:left="1440" w:header="851" w:footer="992" w:gutter="0"/>
          <w:cols w:space="0" w:num="1"/>
          <w:rtlGutter w:val="0"/>
          <w:docGrid w:linePitch="312" w:charSpace="0"/>
        </w:sectPr>
      </w:pPr>
    </w:p>
    <w:p w14:paraId="4181CAB5">
      <w:pPr>
        <w:ind w:firstLine="560"/>
        <w:rPr>
          <w:szCs w:val="21"/>
        </w:rPr>
      </w:pPr>
    </w:p>
    <w:bookmarkEnd w:id="34"/>
    <w:bookmarkEnd w:id="35"/>
    <w:bookmarkEnd w:id="36"/>
    <w:bookmarkEnd w:id="37"/>
    <w:bookmarkEnd w:id="38"/>
    <w:bookmarkEnd w:id="39"/>
    <w:bookmarkEnd w:id="40"/>
    <w:p w14:paraId="10B3EE0E">
      <w:pPr>
        <w:pStyle w:val="5"/>
        <w:overflowPunct w:val="0"/>
        <w:spacing w:line="500" w:lineRule="exact"/>
        <w:ind w:firstLine="0"/>
        <w:rPr>
          <w:rFonts w:ascii="Times New Roman" w:eastAsia="宋体"/>
          <w:b/>
          <w:color w:val="000000"/>
          <w:sz w:val="32"/>
          <w:szCs w:val="32"/>
        </w:rPr>
      </w:pPr>
      <w:bookmarkStart w:id="41" w:name="_Toc322436243"/>
      <w:bookmarkStart w:id="42" w:name="_Toc331056456"/>
      <w:bookmarkStart w:id="43" w:name="_Toc331061677"/>
      <w:bookmarkStart w:id="44" w:name="_Toc322436063"/>
      <w:bookmarkStart w:id="45" w:name="_Toc322436008"/>
      <w:bookmarkStart w:id="46" w:name="_Toc330998568"/>
      <w:bookmarkStart w:id="47" w:name="_Toc322435838"/>
      <w:r>
        <w:rPr>
          <w:rFonts w:ascii="Times New Roman" w:eastAsia="宋体"/>
          <w:b/>
          <w:color w:val="000000"/>
          <w:sz w:val="32"/>
          <w:szCs w:val="32"/>
        </w:rPr>
        <w:t>附件</w:t>
      </w:r>
      <w:r>
        <w:rPr>
          <w:rFonts w:hint="eastAsia" w:ascii="Times New Roman" w:eastAsia="宋体"/>
          <w:b/>
          <w:color w:val="000000"/>
          <w:sz w:val="32"/>
          <w:szCs w:val="32"/>
        </w:rPr>
        <w:t>5</w:t>
      </w:r>
      <w:r>
        <w:rPr>
          <w:rFonts w:ascii="Times New Roman" w:eastAsia="宋体"/>
          <w:b/>
          <w:color w:val="000000"/>
          <w:sz w:val="32"/>
          <w:szCs w:val="32"/>
        </w:rPr>
        <w:t>：</w:t>
      </w:r>
      <w:bookmarkEnd w:id="41"/>
      <w:bookmarkEnd w:id="42"/>
      <w:bookmarkEnd w:id="43"/>
      <w:bookmarkEnd w:id="44"/>
      <w:bookmarkEnd w:id="45"/>
      <w:bookmarkEnd w:id="46"/>
      <w:bookmarkEnd w:id="47"/>
      <w:r>
        <w:rPr>
          <w:rFonts w:ascii="Times New Roman" w:eastAsia="宋体"/>
          <w:b/>
          <w:color w:val="000000"/>
          <w:sz w:val="32"/>
          <w:szCs w:val="32"/>
        </w:rPr>
        <w:t>偏离表</w:t>
      </w:r>
    </w:p>
    <w:p w14:paraId="2D552E3B">
      <w:pPr>
        <w:jc w:val="center"/>
        <w:rPr>
          <w:rFonts w:hint="eastAsia" w:ascii="宋体" w:hAnsi="宋体" w:cs="宋体"/>
          <w:b/>
          <w:sz w:val="32"/>
          <w:szCs w:val="32"/>
        </w:rPr>
      </w:pPr>
      <w:bookmarkStart w:id="48" w:name="_Toc23128"/>
    </w:p>
    <w:p w14:paraId="7B8A5812">
      <w:pPr>
        <w:rPr>
          <w:rFonts w:ascii="黑体" w:hAnsi="黑体" w:eastAsia="黑体"/>
          <w:i/>
          <w:sz w:val="32"/>
          <w:szCs w:val="32"/>
          <w:u w:val="single"/>
        </w:rPr>
      </w:pPr>
      <w:r>
        <w:rPr>
          <w:rFonts w:hint="eastAsia" w:ascii="宋体" w:hAnsi="宋体" w:cs="宋体"/>
          <w:iCs/>
          <w:sz w:val="24"/>
          <w:szCs w:val="24"/>
          <w:u w:val="single"/>
          <w:lang w:val="en-US" w:eastAsia="zh-CN"/>
        </w:rPr>
        <w:t>5</w:t>
      </w:r>
      <w:r>
        <w:rPr>
          <w:rFonts w:hint="eastAsia" w:ascii="宋体" w:hAnsi="宋体" w:cs="宋体"/>
          <w:iCs/>
          <w:sz w:val="24"/>
          <w:szCs w:val="24"/>
          <w:u w:val="single"/>
        </w:rPr>
        <w:t>.1技术要求响应及偏离表</w:t>
      </w:r>
    </w:p>
    <w:p w14:paraId="7A4A42E2">
      <w:pPr>
        <w:spacing w:line="360" w:lineRule="auto"/>
        <w:rPr>
          <w:rFonts w:ascii="宋体" w:hAnsi="宋体" w:cs="宋体"/>
          <w:b/>
          <w:color w:val="000000"/>
          <w:sz w:val="24"/>
          <w:szCs w:val="24"/>
        </w:rPr>
      </w:pPr>
    </w:p>
    <w:p w14:paraId="64085F72">
      <w:pPr>
        <w:spacing w:line="360" w:lineRule="auto"/>
        <w:jc w:val="center"/>
        <w:rPr>
          <w:rFonts w:ascii="宋体" w:hAnsi="宋体" w:cs="宋体"/>
          <w:b/>
          <w:color w:val="000000"/>
          <w:sz w:val="24"/>
          <w:szCs w:val="24"/>
        </w:rPr>
      </w:pPr>
      <w:r>
        <w:rPr>
          <w:rFonts w:hint="eastAsia" w:ascii="宋体" w:hAnsi="宋体" w:cs="宋体"/>
          <w:b/>
          <w:color w:val="000000"/>
          <w:sz w:val="24"/>
          <w:szCs w:val="24"/>
        </w:rPr>
        <w:t>技术要求响应及偏离表</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5"/>
        <w:gridCol w:w="3291"/>
        <w:gridCol w:w="2558"/>
        <w:gridCol w:w="1602"/>
        <w:gridCol w:w="1173"/>
      </w:tblGrid>
      <w:tr w14:paraId="2C0BE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65" w:hRule="atLeast"/>
        </w:trPr>
        <w:tc>
          <w:tcPr>
            <w:tcW w:w="9169" w:type="dxa"/>
            <w:gridSpan w:val="5"/>
            <w:noWrap w:val="0"/>
            <w:vAlign w:val="center"/>
          </w:tcPr>
          <w:p w14:paraId="0D0D6F58">
            <w:pPr>
              <w:spacing w:line="360" w:lineRule="auto"/>
              <w:jc w:val="left"/>
              <w:rPr>
                <w:rFonts w:hint="eastAsia" w:ascii="宋体" w:hAnsi="宋体" w:cs="宋体"/>
                <w:b/>
                <w:color w:val="000000"/>
                <w:szCs w:val="21"/>
              </w:rPr>
            </w:pPr>
            <w:r>
              <w:rPr>
                <w:rFonts w:hint="eastAsia" w:ascii="宋体" w:hAnsi="宋体" w:cs="宋体"/>
                <w:b/>
                <w:color w:val="000000"/>
                <w:szCs w:val="21"/>
              </w:rPr>
              <w:t>对本项目技术要求条款的偏离情况（请进行勾选）：</w:t>
            </w:r>
          </w:p>
          <w:p w14:paraId="5015A82B">
            <w:pPr>
              <w:spacing w:line="360" w:lineRule="auto"/>
              <w:jc w:val="left"/>
              <w:rPr>
                <w:rFonts w:hint="eastAsia" w:ascii="宋体" w:hAnsi="宋体" w:cs="宋体"/>
                <w:b/>
                <w:color w:val="000000"/>
                <w:szCs w:val="21"/>
              </w:rPr>
            </w:pPr>
            <w:r>
              <w:rPr>
                <w:rFonts w:hint="eastAsia" w:ascii="宋体" w:hAnsi="宋体" w:cs="宋体"/>
                <w:b/>
                <w:color w:val="000000"/>
                <w:szCs w:val="21"/>
              </w:rPr>
              <w:t>□无偏离</w:t>
            </w:r>
            <w:r>
              <w:rPr>
                <w:rFonts w:hint="eastAsia" w:ascii="宋体" w:hAnsi="宋体" w:cs="宋体"/>
                <w:color w:val="000000"/>
                <w:szCs w:val="21"/>
              </w:rPr>
              <w:t>（如无偏离，仅勾选无偏离即可）</w:t>
            </w:r>
          </w:p>
          <w:p w14:paraId="728EC2CD">
            <w:pPr>
              <w:spacing w:line="360" w:lineRule="auto"/>
              <w:rPr>
                <w:rFonts w:hint="eastAsia" w:ascii="宋体" w:hAnsi="宋体" w:cs="宋体"/>
                <w:color w:val="000000"/>
                <w:szCs w:val="21"/>
              </w:rPr>
            </w:pPr>
            <w:r>
              <w:rPr>
                <w:rFonts w:hint="eastAsia" w:ascii="宋体" w:hAnsi="宋体" w:cs="宋体"/>
                <w:b/>
                <w:color w:val="000000"/>
                <w:szCs w:val="21"/>
              </w:rPr>
              <w:t>□有偏离</w:t>
            </w:r>
            <w:r>
              <w:rPr>
                <w:rFonts w:hint="eastAsia" w:ascii="宋体" w:hAnsi="宋体" w:cs="宋体"/>
                <w:color w:val="000000"/>
                <w:szCs w:val="21"/>
              </w:rPr>
              <w:t>（如有超出或者偏离，则须在本表中对超出或者偏离项逐一列明）</w:t>
            </w:r>
          </w:p>
        </w:tc>
      </w:tr>
      <w:tr w14:paraId="6ECBB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45" w:type="dxa"/>
            <w:noWrap w:val="0"/>
            <w:vAlign w:val="center"/>
          </w:tcPr>
          <w:p w14:paraId="549A0F8D">
            <w:pPr>
              <w:spacing w:line="360" w:lineRule="auto"/>
              <w:jc w:val="center"/>
              <w:rPr>
                <w:rFonts w:hint="eastAsia" w:ascii="宋体" w:hAnsi="宋体" w:cs="宋体"/>
                <w:color w:val="000000"/>
                <w:szCs w:val="21"/>
              </w:rPr>
            </w:pPr>
            <w:r>
              <w:rPr>
                <w:rFonts w:hint="eastAsia" w:ascii="宋体" w:hAnsi="宋体" w:cs="宋体"/>
                <w:color w:val="000000"/>
                <w:szCs w:val="21"/>
              </w:rPr>
              <w:t>序号</w:t>
            </w:r>
          </w:p>
        </w:tc>
        <w:tc>
          <w:tcPr>
            <w:tcW w:w="3291" w:type="dxa"/>
            <w:noWrap w:val="0"/>
            <w:vAlign w:val="center"/>
          </w:tcPr>
          <w:p w14:paraId="6A034CD6">
            <w:pPr>
              <w:spacing w:line="360" w:lineRule="auto"/>
              <w:jc w:val="center"/>
              <w:rPr>
                <w:rFonts w:hint="eastAsia" w:ascii="宋体" w:hAnsi="宋体" w:cs="宋体"/>
                <w:color w:val="000000"/>
                <w:szCs w:val="21"/>
              </w:rPr>
            </w:pPr>
            <w:r>
              <w:rPr>
                <w:rFonts w:hint="eastAsia" w:ascii="宋体" w:hAnsi="宋体" w:cs="宋体"/>
                <w:color w:val="000000"/>
                <w:szCs w:val="21"/>
              </w:rPr>
              <w:t>采购文件要求</w:t>
            </w:r>
          </w:p>
        </w:tc>
        <w:tc>
          <w:tcPr>
            <w:tcW w:w="2558" w:type="dxa"/>
            <w:noWrap w:val="0"/>
            <w:vAlign w:val="center"/>
          </w:tcPr>
          <w:p w14:paraId="28EE0DC3">
            <w:pPr>
              <w:spacing w:line="360" w:lineRule="auto"/>
              <w:jc w:val="center"/>
              <w:rPr>
                <w:rFonts w:hint="eastAsia" w:ascii="宋体" w:hAnsi="宋体" w:cs="宋体"/>
                <w:color w:val="000000"/>
                <w:szCs w:val="21"/>
              </w:rPr>
            </w:pPr>
            <w:r>
              <w:rPr>
                <w:rFonts w:hint="eastAsia" w:ascii="宋体" w:hAnsi="宋体" w:cs="宋体"/>
                <w:color w:val="000000"/>
                <w:szCs w:val="21"/>
              </w:rPr>
              <w:t>投标响应情况</w:t>
            </w:r>
          </w:p>
        </w:tc>
        <w:tc>
          <w:tcPr>
            <w:tcW w:w="1602" w:type="dxa"/>
            <w:noWrap w:val="0"/>
            <w:vAlign w:val="center"/>
          </w:tcPr>
          <w:p w14:paraId="15A3FA76">
            <w:pPr>
              <w:spacing w:line="360" w:lineRule="auto"/>
              <w:jc w:val="center"/>
              <w:rPr>
                <w:rFonts w:hint="eastAsia" w:ascii="宋体" w:hAnsi="宋体" w:cs="宋体"/>
                <w:color w:val="000000"/>
                <w:szCs w:val="21"/>
              </w:rPr>
            </w:pPr>
            <w:r>
              <w:rPr>
                <w:rFonts w:hint="eastAsia" w:ascii="宋体" w:hAnsi="宋体" w:cs="宋体"/>
                <w:color w:val="000000"/>
                <w:szCs w:val="21"/>
              </w:rPr>
              <w:t>超出、或偏离</w:t>
            </w:r>
          </w:p>
        </w:tc>
        <w:tc>
          <w:tcPr>
            <w:tcW w:w="1173" w:type="dxa"/>
            <w:noWrap w:val="0"/>
            <w:vAlign w:val="center"/>
          </w:tcPr>
          <w:p w14:paraId="509B9446">
            <w:pPr>
              <w:spacing w:line="360" w:lineRule="auto"/>
              <w:jc w:val="center"/>
              <w:rPr>
                <w:rFonts w:hint="eastAsia" w:ascii="宋体" w:hAnsi="宋体" w:cs="宋体"/>
                <w:color w:val="000000"/>
                <w:szCs w:val="21"/>
              </w:rPr>
            </w:pPr>
            <w:r>
              <w:rPr>
                <w:rFonts w:hint="eastAsia" w:ascii="宋体" w:hAnsi="宋体" w:cs="宋体"/>
                <w:color w:val="000000"/>
                <w:szCs w:val="21"/>
              </w:rPr>
              <w:t>证明材料</w:t>
            </w:r>
          </w:p>
        </w:tc>
      </w:tr>
      <w:tr w14:paraId="02D37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noWrap w:val="0"/>
            <w:vAlign w:val="top"/>
          </w:tcPr>
          <w:p w14:paraId="49341AF4">
            <w:pPr>
              <w:spacing w:line="360" w:lineRule="auto"/>
              <w:jc w:val="center"/>
              <w:rPr>
                <w:rFonts w:hint="eastAsia" w:ascii="宋体" w:hAnsi="宋体" w:cs="宋体"/>
                <w:color w:val="000000"/>
                <w:szCs w:val="21"/>
              </w:rPr>
            </w:pPr>
          </w:p>
        </w:tc>
        <w:tc>
          <w:tcPr>
            <w:tcW w:w="3291" w:type="dxa"/>
            <w:noWrap w:val="0"/>
            <w:vAlign w:val="top"/>
          </w:tcPr>
          <w:p w14:paraId="497061C7">
            <w:pPr>
              <w:spacing w:line="360" w:lineRule="auto"/>
              <w:jc w:val="center"/>
              <w:rPr>
                <w:rFonts w:hint="eastAsia" w:ascii="宋体" w:hAnsi="宋体" w:cs="宋体"/>
                <w:color w:val="000000"/>
                <w:szCs w:val="21"/>
              </w:rPr>
            </w:pPr>
          </w:p>
        </w:tc>
        <w:tc>
          <w:tcPr>
            <w:tcW w:w="2558" w:type="dxa"/>
            <w:noWrap w:val="0"/>
            <w:vAlign w:val="top"/>
          </w:tcPr>
          <w:p w14:paraId="51D54BB2">
            <w:pPr>
              <w:spacing w:line="360" w:lineRule="auto"/>
              <w:jc w:val="center"/>
              <w:rPr>
                <w:rFonts w:hint="eastAsia" w:ascii="宋体" w:hAnsi="宋体" w:cs="宋体"/>
                <w:color w:val="000000"/>
                <w:szCs w:val="21"/>
              </w:rPr>
            </w:pPr>
          </w:p>
        </w:tc>
        <w:tc>
          <w:tcPr>
            <w:tcW w:w="1602" w:type="dxa"/>
            <w:noWrap w:val="0"/>
            <w:vAlign w:val="top"/>
          </w:tcPr>
          <w:p w14:paraId="789DB397">
            <w:pPr>
              <w:spacing w:line="360" w:lineRule="auto"/>
              <w:jc w:val="center"/>
              <w:rPr>
                <w:rFonts w:hint="eastAsia" w:ascii="宋体" w:hAnsi="宋体" w:cs="宋体"/>
                <w:color w:val="000000"/>
                <w:szCs w:val="21"/>
              </w:rPr>
            </w:pPr>
          </w:p>
        </w:tc>
        <w:tc>
          <w:tcPr>
            <w:tcW w:w="1173" w:type="dxa"/>
            <w:noWrap w:val="0"/>
            <w:vAlign w:val="top"/>
          </w:tcPr>
          <w:p w14:paraId="5A8F70B0">
            <w:pPr>
              <w:spacing w:line="360" w:lineRule="auto"/>
              <w:jc w:val="center"/>
              <w:rPr>
                <w:rFonts w:hint="eastAsia" w:ascii="宋体" w:hAnsi="宋体" w:cs="宋体"/>
                <w:color w:val="000000"/>
                <w:szCs w:val="21"/>
              </w:rPr>
            </w:pPr>
          </w:p>
        </w:tc>
      </w:tr>
      <w:tr w14:paraId="5B237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noWrap w:val="0"/>
            <w:vAlign w:val="top"/>
          </w:tcPr>
          <w:p w14:paraId="57389AE7">
            <w:pPr>
              <w:spacing w:line="360" w:lineRule="auto"/>
              <w:jc w:val="center"/>
              <w:rPr>
                <w:rFonts w:hint="eastAsia" w:ascii="宋体" w:hAnsi="宋体" w:cs="宋体"/>
                <w:color w:val="000000"/>
                <w:szCs w:val="21"/>
              </w:rPr>
            </w:pPr>
          </w:p>
        </w:tc>
        <w:tc>
          <w:tcPr>
            <w:tcW w:w="3291" w:type="dxa"/>
            <w:noWrap w:val="0"/>
            <w:vAlign w:val="top"/>
          </w:tcPr>
          <w:p w14:paraId="0F3B00B0">
            <w:pPr>
              <w:spacing w:line="360" w:lineRule="auto"/>
              <w:jc w:val="center"/>
              <w:rPr>
                <w:rFonts w:hint="eastAsia" w:ascii="宋体" w:hAnsi="宋体" w:cs="宋体"/>
                <w:color w:val="000000"/>
                <w:szCs w:val="21"/>
              </w:rPr>
            </w:pPr>
          </w:p>
        </w:tc>
        <w:tc>
          <w:tcPr>
            <w:tcW w:w="2558" w:type="dxa"/>
            <w:noWrap w:val="0"/>
            <w:vAlign w:val="top"/>
          </w:tcPr>
          <w:p w14:paraId="67E81325">
            <w:pPr>
              <w:spacing w:line="360" w:lineRule="auto"/>
              <w:jc w:val="center"/>
              <w:rPr>
                <w:rFonts w:hint="eastAsia" w:ascii="宋体" w:hAnsi="宋体" w:cs="宋体"/>
                <w:color w:val="000000"/>
                <w:szCs w:val="21"/>
              </w:rPr>
            </w:pPr>
          </w:p>
        </w:tc>
        <w:tc>
          <w:tcPr>
            <w:tcW w:w="1602" w:type="dxa"/>
            <w:noWrap w:val="0"/>
            <w:vAlign w:val="top"/>
          </w:tcPr>
          <w:p w14:paraId="37B5F8C8">
            <w:pPr>
              <w:spacing w:line="360" w:lineRule="auto"/>
              <w:jc w:val="center"/>
              <w:rPr>
                <w:rFonts w:hint="eastAsia" w:ascii="宋体" w:hAnsi="宋体" w:cs="宋体"/>
                <w:color w:val="000000"/>
                <w:szCs w:val="21"/>
              </w:rPr>
            </w:pPr>
          </w:p>
        </w:tc>
        <w:tc>
          <w:tcPr>
            <w:tcW w:w="1173" w:type="dxa"/>
            <w:noWrap w:val="0"/>
            <w:vAlign w:val="top"/>
          </w:tcPr>
          <w:p w14:paraId="5F016F97">
            <w:pPr>
              <w:spacing w:line="360" w:lineRule="auto"/>
              <w:jc w:val="center"/>
              <w:rPr>
                <w:rFonts w:hint="eastAsia" w:ascii="宋体" w:hAnsi="宋体" w:cs="宋体"/>
                <w:color w:val="000000"/>
                <w:szCs w:val="21"/>
              </w:rPr>
            </w:pPr>
          </w:p>
        </w:tc>
      </w:tr>
      <w:tr w14:paraId="619B0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noWrap w:val="0"/>
            <w:vAlign w:val="top"/>
          </w:tcPr>
          <w:p w14:paraId="7409CDF1">
            <w:pPr>
              <w:spacing w:line="360" w:lineRule="auto"/>
              <w:jc w:val="center"/>
              <w:rPr>
                <w:rFonts w:hint="eastAsia" w:ascii="宋体" w:hAnsi="宋体" w:cs="宋体"/>
                <w:color w:val="000000"/>
                <w:szCs w:val="21"/>
              </w:rPr>
            </w:pPr>
          </w:p>
        </w:tc>
        <w:tc>
          <w:tcPr>
            <w:tcW w:w="3291" w:type="dxa"/>
            <w:noWrap w:val="0"/>
            <w:vAlign w:val="top"/>
          </w:tcPr>
          <w:p w14:paraId="2F0EA903">
            <w:pPr>
              <w:spacing w:line="360" w:lineRule="auto"/>
              <w:jc w:val="center"/>
              <w:rPr>
                <w:rFonts w:hint="eastAsia" w:ascii="宋体" w:hAnsi="宋体" w:cs="宋体"/>
                <w:color w:val="000000"/>
                <w:szCs w:val="21"/>
              </w:rPr>
            </w:pPr>
          </w:p>
        </w:tc>
        <w:tc>
          <w:tcPr>
            <w:tcW w:w="2558" w:type="dxa"/>
            <w:noWrap w:val="0"/>
            <w:vAlign w:val="top"/>
          </w:tcPr>
          <w:p w14:paraId="2D2E7F3C">
            <w:pPr>
              <w:spacing w:line="360" w:lineRule="auto"/>
              <w:jc w:val="center"/>
              <w:rPr>
                <w:rFonts w:hint="eastAsia" w:ascii="宋体" w:hAnsi="宋体" w:cs="宋体"/>
                <w:color w:val="000000"/>
                <w:szCs w:val="21"/>
              </w:rPr>
            </w:pPr>
          </w:p>
        </w:tc>
        <w:tc>
          <w:tcPr>
            <w:tcW w:w="1602" w:type="dxa"/>
            <w:noWrap w:val="0"/>
            <w:vAlign w:val="top"/>
          </w:tcPr>
          <w:p w14:paraId="7444515D">
            <w:pPr>
              <w:spacing w:line="360" w:lineRule="auto"/>
              <w:jc w:val="center"/>
              <w:rPr>
                <w:rFonts w:hint="eastAsia" w:ascii="宋体" w:hAnsi="宋体" w:cs="宋体"/>
                <w:color w:val="000000"/>
                <w:szCs w:val="21"/>
              </w:rPr>
            </w:pPr>
          </w:p>
        </w:tc>
        <w:tc>
          <w:tcPr>
            <w:tcW w:w="1173" w:type="dxa"/>
            <w:noWrap w:val="0"/>
            <w:vAlign w:val="top"/>
          </w:tcPr>
          <w:p w14:paraId="4C104DF6">
            <w:pPr>
              <w:spacing w:line="360" w:lineRule="auto"/>
              <w:jc w:val="center"/>
              <w:rPr>
                <w:rFonts w:hint="eastAsia" w:ascii="宋体" w:hAnsi="宋体" w:cs="宋体"/>
                <w:color w:val="000000"/>
                <w:szCs w:val="21"/>
              </w:rPr>
            </w:pPr>
          </w:p>
        </w:tc>
      </w:tr>
      <w:tr w14:paraId="3DE24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noWrap w:val="0"/>
            <w:vAlign w:val="top"/>
          </w:tcPr>
          <w:p w14:paraId="502633A2">
            <w:pPr>
              <w:spacing w:line="360" w:lineRule="auto"/>
              <w:jc w:val="center"/>
              <w:rPr>
                <w:rFonts w:hint="eastAsia" w:ascii="宋体" w:hAnsi="宋体" w:cs="宋体"/>
                <w:color w:val="000000"/>
                <w:szCs w:val="21"/>
              </w:rPr>
            </w:pPr>
          </w:p>
        </w:tc>
        <w:tc>
          <w:tcPr>
            <w:tcW w:w="3291" w:type="dxa"/>
            <w:noWrap w:val="0"/>
            <w:vAlign w:val="top"/>
          </w:tcPr>
          <w:p w14:paraId="07246864">
            <w:pPr>
              <w:spacing w:line="360" w:lineRule="auto"/>
              <w:jc w:val="center"/>
              <w:rPr>
                <w:rFonts w:hint="eastAsia" w:ascii="宋体" w:hAnsi="宋体" w:cs="宋体"/>
                <w:color w:val="000000"/>
                <w:szCs w:val="21"/>
              </w:rPr>
            </w:pPr>
          </w:p>
        </w:tc>
        <w:tc>
          <w:tcPr>
            <w:tcW w:w="2558" w:type="dxa"/>
            <w:noWrap w:val="0"/>
            <w:vAlign w:val="top"/>
          </w:tcPr>
          <w:p w14:paraId="297CBD14">
            <w:pPr>
              <w:spacing w:line="360" w:lineRule="auto"/>
              <w:jc w:val="center"/>
              <w:rPr>
                <w:rFonts w:hint="eastAsia" w:ascii="宋体" w:hAnsi="宋体" w:cs="宋体"/>
                <w:color w:val="000000"/>
                <w:szCs w:val="21"/>
              </w:rPr>
            </w:pPr>
          </w:p>
        </w:tc>
        <w:tc>
          <w:tcPr>
            <w:tcW w:w="1602" w:type="dxa"/>
            <w:noWrap w:val="0"/>
            <w:vAlign w:val="top"/>
          </w:tcPr>
          <w:p w14:paraId="0860BBAD">
            <w:pPr>
              <w:spacing w:line="360" w:lineRule="auto"/>
              <w:jc w:val="center"/>
              <w:rPr>
                <w:rFonts w:hint="eastAsia" w:ascii="宋体" w:hAnsi="宋体" w:cs="宋体"/>
                <w:color w:val="000000"/>
                <w:szCs w:val="21"/>
              </w:rPr>
            </w:pPr>
          </w:p>
        </w:tc>
        <w:tc>
          <w:tcPr>
            <w:tcW w:w="1173" w:type="dxa"/>
            <w:noWrap w:val="0"/>
            <w:vAlign w:val="top"/>
          </w:tcPr>
          <w:p w14:paraId="21BD4791">
            <w:pPr>
              <w:spacing w:line="360" w:lineRule="auto"/>
              <w:jc w:val="center"/>
              <w:rPr>
                <w:rFonts w:hint="eastAsia" w:ascii="宋体" w:hAnsi="宋体" w:cs="宋体"/>
                <w:color w:val="000000"/>
                <w:szCs w:val="21"/>
              </w:rPr>
            </w:pPr>
          </w:p>
        </w:tc>
      </w:tr>
      <w:tr w14:paraId="7B677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noWrap w:val="0"/>
            <w:vAlign w:val="top"/>
          </w:tcPr>
          <w:p w14:paraId="3ACC8BA9">
            <w:pPr>
              <w:spacing w:line="360" w:lineRule="auto"/>
              <w:jc w:val="center"/>
              <w:rPr>
                <w:rFonts w:hint="eastAsia" w:ascii="宋体" w:hAnsi="宋体" w:cs="宋体"/>
                <w:color w:val="000000"/>
                <w:szCs w:val="21"/>
              </w:rPr>
            </w:pPr>
          </w:p>
        </w:tc>
        <w:tc>
          <w:tcPr>
            <w:tcW w:w="3291" w:type="dxa"/>
            <w:noWrap w:val="0"/>
            <w:vAlign w:val="top"/>
          </w:tcPr>
          <w:p w14:paraId="3822D91B">
            <w:pPr>
              <w:spacing w:line="360" w:lineRule="auto"/>
              <w:jc w:val="center"/>
              <w:rPr>
                <w:rFonts w:hint="eastAsia" w:ascii="宋体" w:hAnsi="宋体" w:cs="宋体"/>
                <w:color w:val="000000"/>
                <w:szCs w:val="21"/>
              </w:rPr>
            </w:pPr>
          </w:p>
        </w:tc>
        <w:tc>
          <w:tcPr>
            <w:tcW w:w="2558" w:type="dxa"/>
            <w:noWrap w:val="0"/>
            <w:vAlign w:val="top"/>
          </w:tcPr>
          <w:p w14:paraId="40E98303">
            <w:pPr>
              <w:spacing w:line="360" w:lineRule="auto"/>
              <w:jc w:val="center"/>
              <w:rPr>
                <w:rFonts w:hint="eastAsia" w:ascii="宋体" w:hAnsi="宋体" w:cs="宋体"/>
                <w:color w:val="000000"/>
                <w:szCs w:val="21"/>
              </w:rPr>
            </w:pPr>
          </w:p>
        </w:tc>
        <w:tc>
          <w:tcPr>
            <w:tcW w:w="1602" w:type="dxa"/>
            <w:noWrap w:val="0"/>
            <w:vAlign w:val="top"/>
          </w:tcPr>
          <w:p w14:paraId="716BB6BE">
            <w:pPr>
              <w:spacing w:line="360" w:lineRule="auto"/>
              <w:jc w:val="center"/>
              <w:rPr>
                <w:rFonts w:hint="eastAsia" w:ascii="宋体" w:hAnsi="宋体" w:cs="宋体"/>
                <w:color w:val="000000"/>
                <w:szCs w:val="21"/>
              </w:rPr>
            </w:pPr>
          </w:p>
        </w:tc>
        <w:tc>
          <w:tcPr>
            <w:tcW w:w="1173" w:type="dxa"/>
            <w:noWrap w:val="0"/>
            <w:vAlign w:val="top"/>
          </w:tcPr>
          <w:p w14:paraId="2F5C34B2">
            <w:pPr>
              <w:spacing w:line="360" w:lineRule="auto"/>
              <w:jc w:val="center"/>
              <w:rPr>
                <w:rFonts w:hint="eastAsia" w:ascii="宋体" w:hAnsi="宋体" w:cs="宋体"/>
                <w:color w:val="000000"/>
                <w:szCs w:val="21"/>
              </w:rPr>
            </w:pPr>
          </w:p>
        </w:tc>
      </w:tr>
      <w:tr w14:paraId="7F545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noWrap w:val="0"/>
            <w:vAlign w:val="top"/>
          </w:tcPr>
          <w:p w14:paraId="5E482346">
            <w:pPr>
              <w:spacing w:line="360" w:lineRule="auto"/>
              <w:jc w:val="center"/>
              <w:rPr>
                <w:rFonts w:hint="eastAsia" w:ascii="宋体" w:hAnsi="宋体" w:cs="宋体"/>
                <w:color w:val="000000"/>
                <w:szCs w:val="21"/>
              </w:rPr>
            </w:pPr>
          </w:p>
        </w:tc>
        <w:tc>
          <w:tcPr>
            <w:tcW w:w="3291" w:type="dxa"/>
            <w:noWrap w:val="0"/>
            <w:vAlign w:val="top"/>
          </w:tcPr>
          <w:p w14:paraId="027EE0D6">
            <w:pPr>
              <w:spacing w:line="360" w:lineRule="auto"/>
              <w:jc w:val="center"/>
              <w:rPr>
                <w:rFonts w:hint="eastAsia" w:ascii="宋体" w:hAnsi="宋体" w:cs="宋体"/>
                <w:color w:val="000000"/>
                <w:szCs w:val="21"/>
              </w:rPr>
            </w:pPr>
          </w:p>
        </w:tc>
        <w:tc>
          <w:tcPr>
            <w:tcW w:w="2558" w:type="dxa"/>
            <w:noWrap w:val="0"/>
            <w:vAlign w:val="top"/>
          </w:tcPr>
          <w:p w14:paraId="68A32844">
            <w:pPr>
              <w:spacing w:line="360" w:lineRule="auto"/>
              <w:jc w:val="center"/>
              <w:rPr>
                <w:rFonts w:hint="eastAsia" w:ascii="宋体" w:hAnsi="宋体" w:cs="宋体"/>
                <w:color w:val="000000"/>
                <w:szCs w:val="21"/>
              </w:rPr>
            </w:pPr>
          </w:p>
        </w:tc>
        <w:tc>
          <w:tcPr>
            <w:tcW w:w="1602" w:type="dxa"/>
            <w:noWrap w:val="0"/>
            <w:vAlign w:val="top"/>
          </w:tcPr>
          <w:p w14:paraId="49F36387">
            <w:pPr>
              <w:spacing w:line="360" w:lineRule="auto"/>
              <w:jc w:val="center"/>
              <w:rPr>
                <w:rFonts w:hint="eastAsia" w:ascii="宋体" w:hAnsi="宋体" w:cs="宋体"/>
                <w:color w:val="000000"/>
                <w:szCs w:val="21"/>
              </w:rPr>
            </w:pPr>
          </w:p>
        </w:tc>
        <w:tc>
          <w:tcPr>
            <w:tcW w:w="1173" w:type="dxa"/>
            <w:noWrap w:val="0"/>
            <w:vAlign w:val="top"/>
          </w:tcPr>
          <w:p w14:paraId="1EA39923">
            <w:pPr>
              <w:spacing w:line="360" w:lineRule="auto"/>
              <w:jc w:val="center"/>
              <w:rPr>
                <w:rFonts w:hint="eastAsia" w:ascii="宋体" w:hAnsi="宋体" w:cs="宋体"/>
                <w:color w:val="000000"/>
                <w:szCs w:val="21"/>
              </w:rPr>
            </w:pPr>
          </w:p>
        </w:tc>
      </w:tr>
      <w:tr w14:paraId="19BB2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noWrap w:val="0"/>
            <w:vAlign w:val="top"/>
          </w:tcPr>
          <w:p w14:paraId="44BC9806">
            <w:pPr>
              <w:spacing w:line="360" w:lineRule="auto"/>
              <w:jc w:val="center"/>
              <w:rPr>
                <w:rFonts w:hint="eastAsia" w:ascii="宋体" w:hAnsi="宋体" w:cs="宋体"/>
                <w:color w:val="000000"/>
                <w:szCs w:val="21"/>
              </w:rPr>
            </w:pPr>
          </w:p>
        </w:tc>
        <w:tc>
          <w:tcPr>
            <w:tcW w:w="3291" w:type="dxa"/>
            <w:noWrap w:val="0"/>
            <w:vAlign w:val="top"/>
          </w:tcPr>
          <w:p w14:paraId="0CC4AA5A">
            <w:pPr>
              <w:spacing w:line="360" w:lineRule="auto"/>
              <w:jc w:val="center"/>
              <w:rPr>
                <w:rFonts w:hint="eastAsia" w:ascii="宋体" w:hAnsi="宋体" w:cs="宋体"/>
                <w:color w:val="000000"/>
                <w:szCs w:val="21"/>
              </w:rPr>
            </w:pPr>
          </w:p>
        </w:tc>
        <w:tc>
          <w:tcPr>
            <w:tcW w:w="2558" w:type="dxa"/>
            <w:noWrap w:val="0"/>
            <w:vAlign w:val="top"/>
          </w:tcPr>
          <w:p w14:paraId="37097B1B">
            <w:pPr>
              <w:spacing w:line="360" w:lineRule="auto"/>
              <w:jc w:val="center"/>
              <w:rPr>
                <w:rFonts w:hint="eastAsia" w:ascii="宋体" w:hAnsi="宋体" w:cs="宋体"/>
                <w:color w:val="000000"/>
                <w:szCs w:val="21"/>
              </w:rPr>
            </w:pPr>
          </w:p>
        </w:tc>
        <w:tc>
          <w:tcPr>
            <w:tcW w:w="1602" w:type="dxa"/>
            <w:noWrap w:val="0"/>
            <w:vAlign w:val="top"/>
          </w:tcPr>
          <w:p w14:paraId="498C952F">
            <w:pPr>
              <w:spacing w:line="360" w:lineRule="auto"/>
              <w:jc w:val="center"/>
              <w:rPr>
                <w:rFonts w:hint="eastAsia" w:ascii="宋体" w:hAnsi="宋体" w:cs="宋体"/>
                <w:color w:val="000000"/>
                <w:szCs w:val="21"/>
              </w:rPr>
            </w:pPr>
          </w:p>
        </w:tc>
        <w:tc>
          <w:tcPr>
            <w:tcW w:w="1173" w:type="dxa"/>
            <w:noWrap w:val="0"/>
            <w:vAlign w:val="top"/>
          </w:tcPr>
          <w:p w14:paraId="3F2738AF">
            <w:pPr>
              <w:spacing w:line="360" w:lineRule="auto"/>
              <w:jc w:val="center"/>
              <w:rPr>
                <w:rFonts w:hint="eastAsia" w:ascii="宋体" w:hAnsi="宋体" w:cs="宋体"/>
                <w:color w:val="000000"/>
                <w:szCs w:val="21"/>
              </w:rPr>
            </w:pPr>
          </w:p>
        </w:tc>
      </w:tr>
      <w:tr w14:paraId="397E4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noWrap w:val="0"/>
            <w:vAlign w:val="top"/>
          </w:tcPr>
          <w:p w14:paraId="6C7584C0">
            <w:pPr>
              <w:spacing w:line="360" w:lineRule="auto"/>
              <w:jc w:val="center"/>
              <w:rPr>
                <w:rFonts w:hint="eastAsia" w:ascii="宋体" w:hAnsi="宋体" w:cs="宋体"/>
                <w:color w:val="000000"/>
                <w:szCs w:val="21"/>
              </w:rPr>
            </w:pPr>
          </w:p>
        </w:tc>
        <w:tc>
          <w:tcPr>
            <w:tcW w:w="3291" w:type="dxa"/>
            <w:noWrap w:val="0"/>
            <w:vAlign w:val="top"/>
          </w:tcPr>
          <w:p w14:paraId="05673DC0">
            <w:pPr>
              <w:spacing w:line="360" w:lineRule="auto"/>
              <w:jc w:val="center"/>
              <w:rPr>
                <w:rFonts w:hint="eastAsia" w:ascii="宋体" w:hAnsi="宋体" w:cs="宋体"/>
                <w:color w:val="000000"/>
                <w:szCs w:val="21"/>
              </w:rPr>
            </w:pPr>
            <w:r>
              <w:rPr>
                <w:rFonts w:hint="eastAsia" w:ascii="宋体" w:hAnsi="宋体" w:cs="宋体"/>
                <w:color w:val="000000"/>
                <w:szCs w:val="21"/>
              </w:rPr>
              <w:t>……</w:t>
            </w:r>
          </w:p>
        </w:tc>
        <w:tc>
          <w:tcPr>
            <w:tcW w:w="2558" w:type="dxa"/>
            <w:noWrap w:val="0"/>
            <w:vAlign w:val="top"/>
          </w:tcPr>
          <w:p w14:paraId="6AE5A565">
            <w:pPr>
              <w:spacing w:line="360" w:lineRule="auto"/>
              <w:jc w:val="center"/>
              <w:rPr>
                <w:rFonts w:hint="eastAsia" w:ascii="宋体" w:hAnsi="宋体" w:cs="宋体"/>
                <w:color w:val="000000"/>
                <w:szCs w:val="21"/>
              </w:rPr>
            </w:pPr>
          </w:p>
        </w:tc>
        <w:tc>
          <w:tcPr>
            <w:tcW w:w="1602" w:type="dxa"/>
            <w:noWrap w:val="0"/>
            <w:vAlign w:val="top"/>
          </w:tcPr>
          <w:p w14:paraId="545344E4">
            <w:pPr>
              <w:spacing w:line="360" w:lineRule="auto"/>
              <w:jc w:val="center"/>
              <w:rPr>
                <w:rFonts w:hint="eastAsia" w:ascii="宋体" w:hAnsi="宋体" w:cs="宋体"/>
                <w:color w:val="000000"/>
                <w:szCs w:val="21"/>
              </w:rPr>
            </w:pPr>
          </w:p>
        </w:tc>
        <w:tc>
          <w:tcPr>
            <w:tcW w:w="1173" w:type="dxa"/>
            <w:noWrap w:val="0"/>
            <w:vAlign w:val="top"/>
          </w:tcPr>
          <w:p w14:paraId="4C43A51F">
            <w:pPr>
              <w:spacing w:line="360" w:lineRule="auto"/>
              <w:jc w:val="center"/>
              <w:rPr>
                <w:rFonts w:hint="eastAsia" w:ascii="宋体" w:hAnsi="宋体" w:cs="宋体"/>
                <w:color w:val="000000"/>
                <w:szCs w:val="21"/>
              </w:rPr>
            </w:pPr>
          </w:p>
        </w:tc>
      </w:tr>
    </w:tbl>
    <w:p w14:paraId="2D44A956">
      <w:pPr>
        <w:tabs>
          <w:tab w:val="left" w:pos="1800"/>
          <w:tab w:val="left" w:pos="5580"/>
        </w:tabs>
        <w:jc w:val="left"/>
        <w:rPr>
          <w:color w:val="000000"/>
          <w:sz w:val="24"/>
          <w:szCs w:val="24"/>
        </w:rPr>
      </w:pPr>
    </w:p>
    <w:p w14:paraId="596E0991">
      <w:pPr>
        <w:tabs>
          <w:tab w:val="left" w:pos="1800"/>
          <w:tab w:val="left" w:pos="5580"/>
        </w:tabs>
        <w:jc w:val="left"/>
        <w:rPr>
          <w:rFonts w:hint="eastAsia" w:ascii="宋体" w:hAnsi="宋体" w:cs="宋体"/>
          <w:color w:val="000000"/>
          <w:szCs w:val="21"/>
        </w:rPr>
      </w:pPr>
      <w:r>
        <w:rPr>
          <w:rFonts w:hint="eastAsia" w:ascii="宋体" w:hAnsi="宋体" w:cs="宋体"/>
          <w:color w:val="000000"/>
          <w:szCs w:val="21"/>
        </w:rPr>
        <w:t>注：</w:t>
      </w:r>
    </w:p>
    <w:p w14:paraId="2AE75FBB">
      <w:pPr>
        <w:tabs>
          <w:tab w:val="left" w:pos="1800"/>
          <w:tab w:val="left" w:pos="5580"/>
        </w:tabs>
        <w:jc w:val="left"/>
        <w:rPr>
          <w:rFonts w:hint="eastAsia" w:ascii="宋体" w:hAnsi="宋体" w:cs="宋体"/>
          <w:color w:val="000000"/>
          <w:szCs w:val="21"/>
        </w:rPr>
      </w:pPr>
      <w:r>
        <w:rPr>
          <w:rFonts w:hint="eastAsia" w:ascii="宋体" w:hAnsi="宋体" w:cs="宋体"/>
          <w:color w:val="000000"/>
          <w:szCs w:val="21"/>
        </w:rPr>
        <w:t>1.除本表所列明的所有偏离外，均视作供应商已对之理解和投标。</w:t>
      </w:r>
    </w:p>
    <w:p w14:paraId="170091CF">
      <w:pPr>
        <w:tabs>
          <w:tab w:val="left" w:pos="1800"/>
          <w:tab w:val="left" w:pos="5580"/>
        </w:tabs>
        <w:jc w:val="left"/>
        <w:rPr>
          <w:rFonts w:hint="eastAsia" w:ascii="宋体" w:hAnsi="宋体" w:cs="宋体"/>
          <w:color w:val="000000"/>
          <w:szCs w:val="21"/>
        </w:rPr>
      </w:pPr>
      <w:r>
        <w:rPr>
          <w:rFonts w:hint="eastAsia" w:ascii="宋体" w:hAnsi="宋体" w:cs="宋体"/>
          <w:color w:val="000000"/>
          <w:szCs w:val="21"/>
        </w:rPr>
        <w:t>2.“偏离情况”列应据实填写“正偏离”或“负偏离”。</w:t>
      </w:r>
    </w:p>
    <w:p w14:paraId="4587453E">
      <w:pPr>
        <w:spacing w:line="360" w:lineRule="auto"/>
        <w:rPr>
          <w:color w:val="000000"/>
          <w:sz w:val="24"/>
        </w:rPr>
      </w:pPr>
    </w:p>
    <w:p w14:paraId="4921E0B2">
      <w:pPr>
        <w:rPr>
          <w:rFonts w:hint="eastAsia" w:ascii="宋体" w:hAnsi="宋体" w:cs="宋体"/>
          <w:szCs w:val="21"/>
        </w:rPr>
      </w:pPr>
      <w:r>
        <w:rPr>
          <w:rFonts w:hint="eastAsia" w:ascii="宋体" w:hAnsi="宋体" w:cs="宋体"/>
          <w:szCs w:val="21"/>
        </w:rPr>
        <w:t xml:space="preserve">竞标单位（盖章）：                    </w:t>
      </w:r>
    </w:p>
    <w:p w14:paraId="4BB08C3D">
      <w:pPr>
        <w:spacing w:line="360" w:lineRule="exact"/>
        <w:rPr>
          <w:rFonts w:hint="eastAsia" w:ascii="宋体" w:hAnsi="宋体" w:cs="宋体"/>
          <w:color w:val="000000"/>
          <w:szCs w:val="21"/>
        </w:rPr>
      </w:pPr>
    </w:p>
    <w:p w14:paraId="6B87C848">
      <w:pPr>
        <w:spacing w:line="360" w:lineRule="exact"/>
        <w:rPr>
          <w:rFonts w:hint="eastAsia" w:ascii="宋体" w:hAnsi="宋体" w:cs="宋体"/>
          <w:color w:val="000000"/>
          <w:szCs w:val="21"/>
        </w:rPr>
      </w:pPr>
      <w:r>
        <w:rPr>
          <w:rFonts w:hint="eastAsia" w:ascii="宋体" w:hAnsi="宋体" w:cs="宋体"/>
          <w:color w:val="000000"/>
          <w:szCs w:val="21"/>
        </w:rPr>
        <w:t>法定代表人或代理人（签字或盖章）：</w:t>
      </w:r>
    </w:p>
    <w:p w14:paraId="25C88665">
      <w:pPr>
        <w:spacing w:line="360" w:lineRule="exact"/>
        <w:rPr>
          <w:rFonts w:hint="eastAsia" w:ascii="宋体" w:hAnsi="宋体" w:cs="宋体"/>
          <w:color w:val="000000"/>
          <w:szCs w:val="21"/>
        </w:rPr>
      </w:pPr>
    </w:p>
    <w:p w14:paraId="36DF05CA">
      <w:pPr>
        <w:spacing w:line="360" w:lineRule="exact"/>
        <w:rPr>
          <w:rFonts w:hint="eastAsia" w:ascii="宋体" w:hAnsi="宋体" w:cs="宋体"/>
          <w:color w:val="000000"/>
          <w:szCs w:val="21"/>
        </w:rPr>
      </w:pPr>
      <w:r>
        <w:rPr>
          <w:rFonts w:hint="eastAsia" w:ascii="宋体" w:hAnsi="宋体" w:cs="宋体"/>
          <w:color w:val="000000"/>
          <w:szCs w:val="21"/>
        </w:rPr>
        <w:t>日期：      年  月   日</w:t>
      </w:r>
    </w:p>
    <w:p w14:paraId="20E29C9C">
      <w:pPr>
        <w:spacing w:line="360" w:lineRule="auto"/>
        <w:jc w:val="center"/>
        <w:rPr>
          <w:rFonts w:ascii="宋体" w:hAnsi="宋体" w:cs="宋体"/>
          <w:b/>
          <w:color w:val="000000"/>
          <w:sz w:val="24"/>
          <w:szCs w:val="24"/>
        </w:rPr>
      </w:pPr>
    </w:p>
    <w:p w14:paraId="4EF03384">
      <w:pPr>
        <w:spacing w:line="360" w:lineRule="auto"/>
        <w:jc w:val="center"/>
        <w:rPr>
          <w:rFonts w:ascii="宋体" w:hAnsi="宋体" w:cs="宋体"/>
          <w:b/>
          <w:color w:val="000000"/>
          <w:sz w:val="24"/>
          <w:szCs w:val="24"/>
        </w:rPr>
      </w:pPr>
    </w:p>
    <w:p w14:paraId="35D73759">
      <w:pPr>
        <w:spacing w:line="360" w:lineRule="auto"/>
        <w:rPr>
          <w:rFonts w:ascii="宋体" w:hAnsi="宋体" w:cs="宋体"/>
          <w:color w:val="000000"/>
          <w:sz w:val="24"/>
          <w:szCs w:val="24"/>
        </w:rPr>
      </w:pPr>
    </w:p>
    <w:p w14:paraId="70C540E4">
      <w:pPr>
        <w:rPr>
          <w:rFonts w:hint="eastAsia" w:ascii="宋体" w:hAnsi="宋体" w:cs="宋体"/>
          <w:iCs/>
          <w:sz w:val="24"/>
          <w:szCs w:val="24"/>
          <w:u w:val="single"/>
        </w:rPr>
      </w:pPr>
      <w:bookmarkStart w:id="49" w:name="_Hlt26955054"/>
      <w:bookmarkEnd w:id="49"/>
      <w:r>
        <w:rPr>
          <w:rFonts w:hint="eastAsia" w:ascii="宋体" w:hAnsi="宋体" w:cs="宋体"/>
          <w:iCs/>
          <w:sz w:val="24"/>
          <w:szCs w:val="24"/>
          <w:u w:val="single"/>
          <w:lang w:val="en-US" w:eastAsia="zh-CN"/>
        </w:rPr>
        <w:t>5</w:t>
      </w:r>
      <w:r>
        <w:rPr>
          <w:rFonts w:hint="eastAsia" w:ascii="宋体" w:hAnsi="宋体" w:cs="宋体"/>
          <w:iCs/>
          <w:sz w:val="24"/>
          <w:szCs w:val="24"/>
          <w:u w:val="single"/>
        </w:rPr>
        <w:t>.2商务要求响应及偏离表</w:t>
      </w:r>
    </w:p>
    <w:p w14:paraId="4D14CAB1">
      <w:pPr>
        <w:spacing w:line="360" w:lineRule="auto"/>
        <w:rPr>
          <w:rFonts w:ascii="宋体" w:hAnsi="宋体" w:cs="宋体"/>
          <w:b/>
          <w:color w:val="000000"/>
          <w:sz w:val="24"/>
          <w:szCs w:val="24"/>
        </w:rPr>
      </w:pPr>
    </w:p>
    <w:p w14:paraId="2FF1A157">
      <w:pPr>
        <w:spacing w:line="360" w:lineRule="auto"/>
        <w:jc w:val="center"/>
        <w:rPr>
          <w:rFonts w:ascii="宋体" w:hAnsi="宋体" w:cs="宋体"/>
          <w:b/>
          <w:color w:val="000000"/>
          <w:sz w:val="24"/>
          <w:szCs w:val="24"/>
        </w:rPr>
      </w:pPr>
      <w:r>
        <w:rPr>
          <w:rFonts w:hint="eastAsia" w:ascii="宋体" w:hAnsi="宋体" w:cs="宋体"/>
          <w:b/>
          <w:color w:val="000000"/>
          <w:sz w:val="24"/>
          <w:szCs w:val="24"/>
        </w:rPr>
        <w:t>商务要求响应及偏离表</w:t>
      </w:r>
    </w:p>
    <w:p w14:paraId="509D1362">
      <w:pPr>
        <w:spacing w:line="360" w:lineRule="auto"/>
        <w:jc w:val="center"/>
        <w:rPr>
          <w:rFonts w:ascii="宋体" w:hAnsi="宋体" w:cs="宋体"/>
          <w:b/>
          <w:color w:val="000000"/>
          <w:sz w:val="24"/>
          <w:szCs w:val="24"/>
        </w:rPr>
      </w:pPr>
    </w:p>
    <w:tbl>
      <w:tblPr>
        <w:tblStyle w:val="26"/>
        <w:tblW w:w="100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5"/>
        <w:gridCol w:w="3596"/>
        <w:gridCol w:w="3116"/>
        <w:gridCol w:w="1429"/>
        <w:gridCol w:w="1284"/>
      </w:tblGrid>
      <w:tr w14:paraId="4CB4D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02" w:hRule="atLeast"/>
          <w:jc w:val="center"/>
        </w:trPr>
        <w:tc>
          <w:tcPr>
            <w:tcW w:w="10020" w:type="dxa"/>
            <w:gridSpan w:val="5"/>
            <w:noWrap w:val="0"/>
            <w:vAlign w:val="center"/>
          </w:tcPr>
          <w:p w14:paraId="3FB46F3C">
            <w:pPr>
              <w:spacing w:line="360" w:lineRule="auto"/>
              <w:jc w:val="left"/>
              <w:rPr>
                <w:rFonts w:hint="eastAsia" w:ascii="宋体" w:hAnsi="宋体" w:cs="宋体"/>
                <w:b/>
                <w:color w:val="000000"/>
                <w:szCs w:val="21"/>
              </w:rPr>
            </w:pPr>
            <w:bookmarkStart w:id="50" w:name="_Hlt26609391"/>
            <w:bookmarkEnd w:id="50"/>
            <w:bookmarkStart w:id="51" w:name="_Hlt26782999"/>
            <w:bookmarkEnd w:id="51"/>
            <w:bookmarkStart w:id="52" w:name="_Hlt26955056"/>
            <w:bookmarkEnd w:id="52"/>
            <w:bookmarkStart w:id="53" w:name="_Hlt26580838"/>
            <w:bookmarkEnd w:id="53"/>
            <w:bookmarkStart w:id="54" w:name="_Hlt24879081"/>
            <w:bookmarkEnd w:id="54"/>
            <w:bookmarkStart w:id="55" w:name="_Hlt26671372"/>
            <w:bookmarkEnd w:id="55"/>
            <w:bookmarkStart w:id="56" w:name="_Hlt26955064"/>
            <w:bookmarkEnd w:id="56"/>
            <w:bookmarkStart w:id="57" w:name="_Hlt26671343"/>
            <w:bookmarkEnd w:id="57"/>
            <w:r>
              <w:rPr>
                <w:rFonts w:hint="eastAsia" w:ascii="宋体" w:hAnsi="宋体" w:cs="宋体"/>
                <w:b/>
                <w:color w:val="000000"/>
                <w:szCs w:val="21"/>
              </w:rPr>
              <w:t>对本项目商务要求条款的偏离情况（请进行勾选）：</w:t>
            </w:r>
          </w:p>
          <w:p w14:paraId="5878C38A">
            <w:pPr>
              <w:spacing w:line="360" w:lineRule="auto"/>
              <w:jc w:val="left"/>
              <w:rPr>
                <w:rFonts w:hint="eastAsia" w:ascii="宋体" w:hAnsi="宋体" w:cs="宋体"/>
                <w:b/>
                <w:color w:val="000000"/>
                <w:szCs w:val="21"/>
              </w:rPr>
            </w:pPr>
            <w:r>
              <w:rPr>
                <w:rFonts w:hint="eastAsia" w:ascii="宋体" w:hAnsi="宋体" w:cs="宋体"/>
                <w:b/>
                <w:color w:val="000000"/>
                <w:szCs w:val="21"/>
              </w:rPr>
              <w:t>□无偏离</w:t>
            </w:r>
            <w:r>
              <w:rPr>
                <w:rFonts w:hint="eastAsia" w:ascii="宋体" w:hAnsi="宋体" w:cs="宋体"/>
                <w:color w:val="000000"/>
                <w:szCs w:val="21"/>
              </w:rPr>
              <w:t>（如无偏离，仅勾选无偏离即可）</w:t>
            </w:r>
          </w:p>
          <w:p w14:paraId="53D82271">
            <w:pPr>
              <w:spacing w:line="360" w:lineRule="auto"/>
              <w:rPr>
                <w:rFonts w:hint="eastAsia" w:ascii="宋体" w:hAnsi="宋体" w:cs="宋体"/>
                <w:color w:val="000000"/>
                <w:szCs w:val="21"/>
              </w:rPr>
            </w:pPr>
            <w:r>
              <w:rPr>
                <w:rFonts w:hint="eastAsia" w:ascii="宋体" w:hAnsi="宋体" w:cs="宋体"/>
                <w:b/>
                <w:color w:val="000000"/>
                <w:szCs w:val="21"/>
              </w:rPr>
              <w:t>□有偏离</w:t>
            </w:r>
            <w:r>
              <w:rPr>
                <w:rFonts w:hint="eastAsia" w:ascii="宋体" w:hAnsi="宋体" w:cs="宋体"/>
                <w:color w:val="000000"/>
                <w:szCs w:val="21"/>
              </w:rPr>
              <w:t>（如有超出或者偏离，则须在本表中对超出或者偏离项逐一列明）</w:t>
            </w:r>
          </w:p>
        </w:tc>
      </w:tr>
      <w:tr w14:paraId="35170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05" w:hRule="atLeast"/>
          <w:jc w:val="center"/>
        </w:trPr>
        <w:tc>
          <w:tcPr>
            <w:tcW w:w="595" w:type="dxa"/>
            <w:noWrap w:val="0"/>
            <w:vAlign w:val="center"/>
          </w:tcPr>
          <w:p w14:paraId="35391868">
            <w:pPr>
              <w:spacing w:line="360" w:lineRule="auto"/>
              <w:jc w:val="center"/>
              <w:rPr>
                <w:rFonts w:hint="eastAsia" w:ascii="宋体" w:hAnsi="宋体" w:cs="宋体"/>
                <w:color w:val="000000"/>
                <w:szCs w:val="21"/>
              </w:rPr>
            </w:pPr>
            <w:r>
              <w:rPr>
                <w:rFonts w:hint="eastAsia" w:ascii="宋体" w:hAnsi="宋体" w:cs="宋体"/>
                <w:color w:val="000000"/>
                <w:szCs w:val="21"/>
              </w:rPr>
              <w:t>序号</w:t>
            </w:r>
          </w:p>
        </w:tc>
        <w:tc>
          <w:tcPr>
            <w:tcW w:w="3596" w:type="dxa"/>
            <w:noWrap w:val="0"/>
            <w:vAlign w:val="center"/>
          </w:tcPr>
          <w:p w14:paraId="5A0E1CAE">
            <w:pPr>
              <w:spacing w:line="360" w:lineRule="auto"/>
              <w:jc w:val="center"/>
              <w:rPr>
                <w:rFonts w:hint="eastAsia" w:ascii="宋体" w:hAnsi="宋体" w:cs="宋体"/>
                <w:color w:val="000000"/>
                <w:szCs w:val="21"/>
              </w:rPr>
            </w:pPr>
            <w:r>
              <w:rPr>
                <w:rFonts w:hint="eastAsia" w:ascii="宋体" w:hAnsi="宋体" w:cs="宋体"/>
                <w:color w:val="000000"/>
                <w:szCs w:val="21"/>
              </w:rPr>
              <w:t>采购文件要求</w:t>
            </w:r>
          </w:p>
        </w:tc>
        <w:tc>
          <w:tcPr>
            <w:tcW w:w="3116" w:type="dxa"/>
            <w:noWrap w:val="0"/>
            <w:vAlign w:val="center"/>
          </w:tcPr>
          <w:p w14:paraId="5D05EAD7">
            <w:pPr>
              <w:spacing w:line="360" w:lineRule="auto"/>
              <w:jc w:val="center"/>
              <w:rPr>
                <w:rFonts w:hint="eastAsia" w:ascii="宋体" w:hAnsi="宋体" w:cs="宋体"/>
                <w:color w:val="000000"/>
                <w:szCs w:val="21"/>
              </w:rPr>
            </w:pPr>
            <w:r>
              <w:rPr>
                <w:rFonts w:hint="eastAsia" w:ascii="宋体" w:hAnsi="宋体" w:cs="宋体"/>
                <w:color w:val="000000"/>
                <w:szCs w:val="21"/>
              </w:rPr>
              <w:t>投标响应情况</w:t>
            </w:r>
          </w:p>
        </w:tc>
        <w:tc>
          <w:tcPr>
            <w:tcW w:w="1429" w:type="dxa"/>
            <w:noWrap w:val="0"/>
            <w:vAlign w:val="center"/>
          </w:tcPr>
          <w:p w14:paraId="7CFD9380">
            <w:pPr>
              <w:spacing w:line="360" w:lineRule="auto"/>
              <w:jc w:val="center"/>
              <w:rPr>
                <w:rFonts w:hint="eastAsia" w:ascii="宋体" w:hAnsi="宋体" w:cs="宋体"/>
                <w:color w:val="000000"/>
                <w:szCs w:val="21"/>
              </w:rPr>
            </w:pPr>
            <w:r>
              <w:rPr>
                <w:rFonts w:hint="eastAsia" w:ascii="宋体" w:hAnsi="宋体" w:cs="宋体"/>
                <w:color w:val="000000"/>
                <w:szCs w:val="21"/>
              </w:rPr>
              <w:t>超出、或偏离</w:t>
            </w:r>
          </w:p>
        </w:tc>
        <w:tc>
          <w:tcPr>
            <w:tcW w:w="1284" w:type="dxa"/>
            <w:noWrap w:val="0"/>
            <w:vAlign w:val="center"/>
          </w:tcPr>
          <w:p w14:paraId="1E7ED3B3">
            <w:pPr>
              <w:spacing w:line="360" w:lineRule="auto"/>
              <w:jc w:val="center"/>
              <w:rPr>
                <w:rFonts w:hint="eastAsia" w:ascii="宋体" w:hAnsi="宋体" w:cs="宋体"/>
                <w:color w:val="000000"/>
                <w:szCs w:val="21"/>
              </w:rPr>
            </w:pPr>
            <w:r>
              <w:rPr>
                <w:rFonts w:hint="eastAsia" w:ascii="宋体" w:hAnsi="宋体" w:cs="宋体"/>
                <w:color w:val="000000"/>
                <w:szCs w:val="21"/>
              </w:rPr>
              <w:t>证明材料</w:t>
            </w:r>
          </w:p>
        </w:tc>
      </w:tr>
      <w:tr w14:paraId="6ACAF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3" w:hRule="atLeast"/>
          <w:jc w:val="center"/>
        </w:trPr>
        <w:tc>
          <w:tcPr>
            <w:tcW w:w="595" w:type="dxa"/>
            <w:noWrap w:val="0"/>
            <w:vAlign w:val="top"/>
          </w:tcPr>
          <w:p w14:paraId="1D7DC5B7">
            <w:pPr>
              <w:spacing w:line="360" w:lineRule="auto"/>
              <w:jc w:val="center"/>
              <w:rPr>
                <w:rFonts w:hint="eastAsia" w:ascii="宋体" w:hAnsi="宋体" w:cs="宋体"/>
                <w:color w:val="000000"/>
                <w:szCs w:val="21"/>
              </w:rPr>
            </w:pPr>
          </w:p>
        </w:tc>
        <w:tc>
          <w:tcPr>
            <w:tcW w:w="3596" w:type="dxa"/>
            <w:noWrap w:val="0"/>
            <w:vAlign w:val="top"/>
          </w:tcPr>
          <w:p w14:paraId="73FDBDD7">
            <w:pPr>
              <w:spacing w:line="360" w:lineRule="auto"/>
              <w:jc w:val="center"/>
              <w:rPr>
                <w:rFonts w:hint="eastAsia" w:ascii="宋体" w:hAnsi="宋体" w:cs="宋体"/>
                <w:color w:val="000000"/>
                <w:szCs w:val="21"/>
              </w:rPr>
            </w:pPr>
          </w:p>
        </w:tc>
        <w:tc>
          <w:tcPr>
            <w:tcW w:w="3116" w:type="dxa"/>
            <w:noWrap w:val="0"/>
            <w:vAlign w:val="top"/>
          </w:tcPr>
          <w:p w14:paraId="078378FC">
            <w:pPr>
              <w:spacing w:line="360" w:lineRule="auto"/>
              <w:jc w:val="center"/>
              <w:rPr>
                <w:rFonts w:hint="eastAsia" w:ascii="宋体" w:hAnsi="宋体" w:cs="宋体"/>
                <w:color w:val="000000"/>
                <w:szCs w:val="21"/>
              </w:rPr>
            </w:pPr>
          </w:p>
        </w:tc>
        <w:tc>
          <w:tcPr>
            <w:tcW w:w="1429" w:type="dxa"/>
            <w:noWrap w:val="0"/>
            <w:vAlign w:val="top"/>
          </w:tcPr>
          <w:p w14:paraId="3C38A243">
            <w:pPr>
              <w:spacing w:line="360" w:lineRule="auto"/>
              <w:jc w:val="center"/>
              <w:rPr>
                <w:rFonts w:hint="eastAsia" w:ascii="宋体" w:hAnsi="宋体" w:cs="宋体"/>
                <w:color w:val="000000"/>
                <w:szCs w:val="21"/>
              </w:rPr>
            </w:pPr>
          </w:p>
        </w:tc>
        <w:tc>
          <w:tcPr>
            <w:tcW w:w="1284" w:type="dxa"/>
            <w:noWrap w:val="0"/>
            <w:vAlign w:val="top"/>
          </w:tcPr>
          <w:p w14:paraId="5FBB4771">
            <w:pPr>
              <w:spacing w:line="360" w:lineRule="auto"/>
              <w:jc w:val="center"/>
              <w:rPr>
                <w:rFonts w:hint="eastAsia" w:ascii="宋体" w:hAnsi="宋体" w:cs="宋体"/>
                <w:color w:val="000000"/>
                <w:szCs w:val="21"/>
              </w:rPr>
            </w:pPr>
          </w:p>
        </w:tc>
      </w:tr>
      <w:tr w14:paraId="173D0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3" w:hRule="atLeast"/>
          <w:jc w:val="center"/>
        </w:trPr>
        <w:tc>
          <w:tcPr>
            <w:tcW w:w="595" w:type="dxa"/>
            <w:noWrap w:val="0"/>
            <w:vAlign w:val="top"/>
          </w:tcPr>
          <w:p w14:paraId="6FF404D7">
            <w:pPr>
              <w:spacing w:line="360" w:lineRule="auto"/>
              <w:jc w:val="center"/>
              <w:rPr>
                <w:rFonts w:hint="eastAsia" w:ascii="宋体" w:hAnsi="宋体" w:cs="宋体"/>
                <w:color w:val="000000"/>
                <w:szCs w:val="21"/>
              </w:rPr>
            </w:pPr>
          </w:p>
        </w:tc>
        <w:tc>
          <w:tcPr>
            <w:tcW w:w="3596" w:type="dxa"/>
            <w:noWrap w:val="0"/>
            <w:vAlign w:val="top"/>
          </w:tcPr>
          <w:p w14:paraId="434C8646">
            <w:pPr>
              <w:spacing w:line="360" w:lineRule="auto"/>
              <w:jc w:val="center"/>
              <w:rPr>
                <w:rFonts w:hint="eastAsia" w:ascii="宋体" w:hAnsi="宋体" w:cs="宋体"/>
                <w:color w:val="000000"/>
                <w:szCs w:val="21"/>
              </w:rPr>
            </w:pPr>
          </w:p>
        </w:tc>
        <w:tc>
          <w:tcPr>
            <w:tcW w:w="3116" w:type="dxa"/>
            <w:noWrap w:val="0"/>
            <w:vAlign w:val="top"/>
          </w:tcPr>
          <w:p w14:paraId="58068240">
            <w:pPr>
              <w:spacing w:line="360" w:lineRule="auto"/>
              <w:jc w:val="center"/>
              <w:rPr>
                <w:rFonts w:hint="eastAsia" w:ascii="宋体" w:hAnsi="宋体" w:cs="宋体"/>
                <w:color w:val="000000"/>
                <w:szCs w:val="21"/>
              </w:rPr>
            </w:pPr>
          </w:p>
        </w:tc>
        <w:tc>
          <w:tcPr>
            <w:tcW w:w="1429" w:type="dxa"/>
            <w:noWrap w:val="0"/>
            <w:vAlign w:val="top"/>
          </w:tcPr>
          <w:p w14:paraId="2F911343">
            <w:pPr>
              <w:spacing w:line="360" w:lineRule="auto"/>
              <w:jc w:val="center"/>
              <w:rPr>
                <w:rFonts w:hint="eastAsia" w:ascii="宋体" w:hAnsi="宋体" w:cs="宋体"/>
                <w:color w:val="000000"/>
                <w:szCs w:val="21"/>
              </w:rPr>
            </w:pPr>
          </w:p>
        </w:tc>
        <w:tc>
          <w:tcPr>
            <w:tcW w:w="1284" w:type="dxa"/>
            <w:noWrap w:val="0"/>
            <w:vAlign w:val="top"/>
          </w:tcPr>
          <w:p w14:paraId="6BA2AC70">
            <w:pPr>
              <w:spacing w:line="360" w:lineRule="auto"/>
              <w:jc w:val="center"/>
              <w:rPr>
                <w:rFonts w:hint="eastAsia" w:ascii="宋体" w:hAnsi="宋体" w:cs="宋体"/>
                <w:color w:val="000000"/>
                <w:szCs w:val="21"/>
              </w:rPr>
            </w:pPr>
          </w:p>
        </w:tc>
      </w:tr>
      <w:tr w14:paraId="6FB38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3" w:hRule="atLeast"/>
          <w:jc w:val="center"/>
        </w:trPr>
        <w:tc>
          <w:tcPr>
            <w:tcW w:w="595" w:type="dxa"/>
            <w:noWrap w:val="0"/>
            <w:vAlign w:val="top"/>
          </w:tcPr>
          <w:p w14:paraId="042CDAF9">
            <w:pPr>
              <w:spacing w:line="360" w:lineRule="auto"/>
              <w:jc w:val="center"/>
              <w:rPr>
                <w:rFonts w:hint="eastAsia" w:ascii="宋体" w:hAnsi="宋体" w:cs="宋体"/>
                <w:color w:val="000000"/>
                <w:szCs w:val="21"/>
              </w:rPr>
            </w:pPr>
          </w:p>
        </w:tc>
        <w:tc>
          <w:tcPr>
            <w:tcW w:w="3596" w:type="dxa"/>
            <w:noWrap w:val="0"/>
            <w:vAlign w:val="top"/>
          </w:tcPr>
          <w:p w14:paraId="27AEEF47">
            <w:pPr>
              <w:spacing w:line="360" w:lineRule="auto"/>
              <w:jc w:val="center"/>
              <w:rPr>
                <w:rFonts w:hint="eastAsia" w:ascii="宋体" w:hAnsi="宋体" w:cs="宋体"/>
                <w:color w:val="000000"/>
                <w:szCs w:val="21"/>
              </w:rPr>
            </w:pPr>
          </w:p>
        </w:tc>
        <w:tc>
          <w:tcPr>
            <w:tcW w:w="3116" w:type="dxa"/>
            <w:noWrap w:val="0"/>
            <w:vAlign w:val="top"/>
          </w:tcPr>
          <w:p w14:paraId="389E2C38">
            <w:pPr>
              <w:spacing w:line="360" w:lineRule="auto"/>
              <w:jc w:val="center"/>
              <w:rPr>
                <w:rFonts w:hint="eastAsia" w:ascii="宋体" w:hAnsi="宋体" w:cs="宋体"/>
                <w:color w:val="000000"/>
                <w:szCs w:val="21"/>
              </w:rPr>
            </w:pPr>
          </w:p>
        </w:tc>
        <w:tc>
          <w:tcPr>
            <w:tcW w:w="1429" w:type="dxa"/>
            <w:noWrap w:val="0"/>
            <w:vAlign w:val="top"/>
          </w:tcPr>
          <w:p w14:paraId="1FB2ACDE">
            <w:pPr>
              <w:spacing w:line="360" w:lineRule="auto"/>
              <w:jc w:val="center"/>
              <w:rPr>
                <w:rFonts w:hint="eastAsia" w:ascii="宋体" w:hAnsi="宋体" w:cs="宋体"/>
                <w:color w:val="000000"/>
                <w:szCs w:val="21"/>
              </w:rPr>
            </w:pPr>
          </w:p>
        </w:tc>
        <w:tc>
          <w:tcPr>
            <w:tcW w:w="1284" w:type="dxa"/>
            <w:noWrap w:val="0"/>
            <w:vAlign w:val="top"/>
          </w:tcPr>
          <w:p w14:paraId="4876207E">
            <w:pPr>
              <w:spacing w:line="360" w:lineRule="auto"/>
              <w:jc w:val="center"/>
              <w:rPr>
                <w:rFonts w:hint="eastAsia" w:ascii="宋体" w:hAnsi="宋体" w:cs="宋体"/>
                <w:color w:val="000000"/>
                <w:szCs w:val="21"/>
              </w:rPr>
            </w:pPr>
          </w:p>
        </w:tc>
      </w:tr>
      <w:tr w14:paraId="6B81D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3" w:hRule="atLeast"/>
          <w:jc w:val="center"/>
        </w:trPr>
        <w:tc>
          <w:tcPr>
            <w:tcW w:w="595" w:type="dxa"/>
            <w:noWrap w:val="0"/>
            <w:vAlign w:val="top"/>
          </w:tcPr>
          <w:p w14:paraId="1A9D6CA7">
            <w:pPr>
              <w:spacing w:line="360" w:lineRule="auto"/>
              <w:jc w:val="center"/>
              <w:rPr>
                <w:rFonts w:hint="eastAsia" w:ascii="宋体" w:hAnsi="宋体" w:cs="宋体"/>
                <w:color w:val="000000"/>
                <w:szCs w:val="21"/>
              </w:rPr>
            </w:pPr>
          </w:p>
        </w:tc>
        <w:tc>
          <w:tcPr>
            <w:tcW w:w="3596" w:type="dxa"/>
            <w:noWrap w:val="0"/>
            <w:vAlign w:val="top"/>
          </w:tcPr>
          <w:p w14:paraId="121B768D">
            <w:pPr>
              <w:spacing w:line="360" w:lineRule="auto"/>
              <w:jc w:val="center"/>
              <w:rPr>
                <w:rFonts w:hint="eastAsia" w:ascii="宋体" w:hAnsi="宋体" w:cs="宋体"/>
                <w:color w:val="000000"/>
                <w:szCs w:val="21"/>
              </w:rPr>
            </w:pPr>
          </w:p>
        </w:tc>
        <w:tc>
          <w:tcPr>
            <w:tcW w:w="3116" w:type="dxa"/>
            <w:noWrap w:val="0"/>
            <w:vAlign w:val="top"/>
          </w:tcPr>
          <w:p w14:paraId="601D6110">
            <w:pPr>
              <w:spacing w:line="360" w:lineRule="auto"/>
              <w:jc w:val="center"/>
              <w:rPr>
                <w:rFonts w:hint="eastAsia" w:ascii="宋体" w:hAnsi="宋体" w:cs="宋体"/>
                <w:color w:val="000000"/>
                <w:szCs w:val="21"/>
              </w:rPr>
            </w:pPr>
          </w:p>
        </w:tc>
        <w:tc>
          <w:tcPr>
            <w:tcW w:w="1429" w:type="dxa"/>
            <w:noWrap w:val="0"/>
            <w:vAlign w:val="top"/>
          </w:tcPr>
          <w:p w14:paraId="0F1BFBBF">
            <w:pPr>
              <w:spacing w:line="360" w:lineRule="auto"/>
              <w:jc w:val="center"/>
              <w:rPr>
                <w:rFonts w:hint="eastAsia" w:ascii="宋体" w:hAnsi="宋体" w:cs="宋体"/>
                <w:color w:val="000000"/>
                <w:szCs w:val="21"/>
              </w:rPr>
            </w:pPr>
          </w:p>
        </w:tc>
        <w:tc>
          <w:tcPr>
            <w:tcW w:w="1284" w:type="dxa"/>
            <w:noWrap w:val="0"/>
            <w:vAlign w:val="top"/>
          </w:tcPr>
          <w:p w14:paraId="7BF03CA7">
            <w:pPr>
              <w:spacing w:line="360" w:lineRule="auto"/>
              <w:jc w:val="center"/>
              <w:rPr>
                <w:rFonts w:hint="eastAsia" w:ascii="宋体" w:hAnsi="宋体" w:cs="宋体"/>
                <w:color w:val="000000"/>
                <w:szCs w:val="21"/>
              </w:rPr>
            </w:pPr>
          </w:p>
        </w:tc>
      </w:tr>
      <w:tr w14:paraId="351DA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3" w:hRule="atLeast"/>
          <w:jc w:val="center"/>
        </w:trPr>
        <w:tc>
          <w:tcPr>
            <w:tcW w:w="595" w:type="dxa"/>
            <w:noWrap w:val="0"/>
            <w:vAlign w:val="top"/>
          </w:tcPr>
          <w:p w14:paraId="3D3F0F78">
            <w:pPr>
              <w:spacing w:line="360" w:lineRule="auto"/>
              <w:jc w:val="center"/>
              <w:rPr>
                <w:rFonts w:hint="eastAsia" w:ascii="宋体" w:hAnsi="宋体" w:cs="宋体"/>
                <w:color w:val="000000"/>
                <w:szCs w:val="21"/>
              </w:rPr>
            </w:pPr>
          </w:p>
        </w:tc>
        <w:tc>
          <w:tcPr>
            <w:tcW w:w="3596" w:type="dxa"/>
            <w:noWrap w:val="0"/>
            <w:vAlign w:val="top"/>
          </w:tcPr>
          <w:p w14:paraId="1A9BEEA4">
            <w:pPr>
              <w:spacing w:line="360" w:lineRule="auto"/>
              <w:jc w:val="center"/>
              <w:rPr>
                <w:rFonts w:hint="eastAsia" w:ascii="宋体" w:hAnsi="宋体" w:cs="宋体"/>
                <w:color w:val="000000"/>
                <w:szCs w:val="21"/>
              </w:rPr>
            </w:pPr>
          </w:p>
        </w:tc>
        <w:tc>
          <w:tcPr>
            <w:tcW w:w="3116" w:type="dxa"/>
            <w:noWrap w:val="0"/>
            <w:vAlign w:val="top"/>
          </w:tcPr>
          <w:p w14:paraId="2AEAEBCB">
            <w:pPr>
              <w:spacing w:line="360" w:lineRule="auto"/>
              <w:jc w:val="center"/>
              <w:rPr>
                <w:rFonts w:hint="eastAsia" w:ascii="宋体" w:hAnsi="宋体" w:cs="宋体"/>
                <w:color w:val="000000"/>
                <w:szCs w:val="21"/>
              </w:rPr>
            </w:pPr>
          </w:p>
        </w:tc>
        <w:tc>
          <w:tcPr>
            <w:tcW w:w="1429" w:type="dxa"/>
            <w:noWrap w:val="0"/>
            <w:vAlign w:val="top"/>
          </w:tcPr>
          <w:p w14:paraId="66F83C3B">
            <w:pPr>
              <w:spacing w:line="360" w:lineRule="auto"/>
              <w:jc w:val="center"/>
              <w:rPr>
                <w:rFonts w:hint="eastAsia" w:ascii="宋体" w:hAnsi="宋体" w:cs="宋体"/>
                <w:color w:val="000000"/>
                <w:szCs w:val="21"/>
              </w:rPr>
            </w:pPr>
          </w:p>
        </w:tc>
        <w:tc>
          <w:tcPr>
            <w:tcW w:w="1284" w:type="dxa"/>
            <w:noWrap w:val="0"/>
            <w:vAlign w:val="top"/>
          </w:tcPr>
          <w:p w14:paraId="7D1A1ADA">
            <w:pPr>
              <w:spacing w:line="360" w:lineRule="auto"/>
              <w:jc w:val="center"/>
              <w:rPr>
                <w:rFonts w:hint="eastAsia" w:ascii="宋体" w:hAnsi="宋体" w:cs="宋体"/>
                <w:color w:val="000000"/>
                <w:szCs w:val="21"/>
              </w:rPr>
            </w:pPr>
          </w:p>
        </w:tc>
      </w:tr>
      <w:tr w14:paraId="6CF57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3" w:hRule="atLeast"/>
          <w:jc w:val="center"/>
        </w:trPr>
        <w:tc>
          <w:tcPr>
            <w:tcW w:w="595" w:type="dxa"/>
            <w:noWrap w:val="0"/>
            <w:vAlign w:val="top"/>
          </w:tcPr>
          <w:p w14:paraId="7F5BAA60">
            <w:pPr>
              <w:spacing w:line="360" w:lineRule="auto"/>
              <w:jc w:val="center"/>
              <w:rPr>
                <w:rFonts w:hint="eastAsia" w:ascii="宋体" w:hAnsi="宋体" w:cs="宋体"/>
                <w:color w:val="000000"/>
                <w:szCs w:val="21"/>
              </w:rPr>
            </w:pPr>
          </w:p>
        </w:tc>
        <w:tc>
          <w:tcPr>
            <w:tcW w:w="3596" w:type="dxa"/>
            <w:noWrap w:val="0"/>
            <w:vAlign w:val="top"/>
          </w:tcPr>
          <w:p w14:paraId="6040AA60">
            <w:pPr>
              <w:spacing w:line="360" w:lineRule="auto"/>
              <w:jc w:val="center"/>
              <w:rPr>
                <w:rFonts w:hint="eastAsia" w:ascii="宋体" w:hAnsi="宋体" w:cs="宋体"/>
                <w:color w:val="000000"/>
                <w:szCs w:val="21"/>
              </w:rPr>
            </w:pPr>
          </w:p>
        </w:tc>
        <w:tc>
          <w:tcPr>
            <w:tcW w:w="3116" w:type="dxa"/>
            <w:noWrap w:val="0"/>
            <w:vAlign w:val="top"/>
          </w:tcPr>
          <w:p w14:paraId="076B743F">
            <w:pPr>
              <w:spacing w:line="360" w:lineRule="auto"/>
              <w:jc w:val="center"/>
              <w:rPr>
                <w:rFonts w:hint="eastAsia" w:ascii="宋体" w:hAnsi="宋体" w:cs="宋体"/>
                <w:color w:val="000000"/>
                <w:szCs w:val="21"/>
              </w:rPr>
            </w:pPr>
          </w:p>
        </w:tc>
        <w:tc>
          <w:tcPr>
            <w:tcW w:w="1429" w:type="dxa"/>
            <w:noWrap w:val="0"/>
            <w:vAlign w:val="top"/>
          </w:tcPr>
          <w:p w14:paraId="14EDF112">
            <w:pPr>
              <w:spacing w:line="360" w:lineRule="auto"/>
              <w:jc w:val="center"/>
              <w:rPr>
                <w:rFonts w:hint="eastAsia" w:ascii="宋体" w:hAnsi="宋体" w:cs="宋体"/>
                <w:color w:val="000000"/>
                <w:szCs w:val="21"/>
              </w:rPr>
            </w:pPr>
          </w:p>
        </w:tc>
        <w:tc>
          <w:tcPr>
            <w:tcW w:w="1284" w:type="dxa"/>
            <w:noWrap w:val="0"/>
            <w:vAlign w:val="top"/>
          </w:tcPr>
          <w:p w14:paraId="6371BE33">
            <w:pPr>
              <w:spacing w:line="360" w:lineRule="auto"/>
              <w:jc w:val="center"/>
              <w:rPr>
                <w:rFonts w:hint="eastAsia" w:ascii="宋体" w:hAnsi="宋体" w:cs="宋体"/>
                <w:color w:val="000000"/>
                <w:szCs w:val="21"/>
              </w:rPr>
            </w:pPr>
          </w:p>
        </w:tc>
      </w:tr>
      <w:tr w14:paraId="147B1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3" w:hRule="atLeast"/>
          <w:jc w:val="center"/>
        </w:trPr>
        <w:tc>
          <w:tcPr>
            <w:tcW w:w="595" w:type="dxa"/>
            <w:noWrap w:val="0"/>
            <w:vAlign w:val="top"/>
          </w:tcPr>
          <w:p w14:paraId="1E636635">
            <w:pPr>
              <w:spacing w:line="360" w:lineRule="auto"/>
              <w:jc w:val="center"/>
              <w:rPr>
                <w:rFonts w:hint="eastAsia" w:ascii="宋体" w:hAnsi="宋体" w:cs="宋体"/>
                <w:color w:val="000000"/>
                <w:szCs w:val="21"/>
              </w:rPr>
            </w:pPr>
          </w:p>
        </w:tc>
        <w:tc>
          <w:tcPr>
            <w:tcW w:w="3596" w:type="dxa"/>
            <w:noWrap w:val="0"/>
            <w:vAlign w:val="top"/>
          </w:tcPr>
          <w:p w14:paraId="5868AA6E">
            <w:pPr>
              <w:spacing w:line="360" w:lineRule="auto"/>
              <w:jc w:val="center"/>
              <w:rPr>
                <w:rFonts w:hint="eastAsia" w:ascii="宋体" w:hAnsi="宋体" w:cs="宋体"/>
                <w:color w:val="000000"/>
                <w:szCs w:val="21"/>
              </w:rPr>
            </w:pPr>
          </w:p>
        </w:tc>
        <w:tc>
          <w:tcPr>
            <w:tcW w:w="3116" w:type="dxa"/>
            <w:noWrap w:val="0"/>
            <w:vAlign w:val="top"/>
          </w:tcPr>
          <w:p w14:paraId="17F2A409">
            <w:pPr>
              <w:spacing w:line="360" w:lineRule="auto"/>
              <w:jc w:val="center"/>
              <w:rPr>
                <w:rFonts w:hint="eastAsia" w:ascii="宋体" w:hAnsi="宋体" w:cs="宋体"/>
                <w:color w:val="000000"/>
                <w:szCs w:val="21"/>
              </w:rPr>
            </w:pPr>
          </w:p>
        </w:tc>
        <w:tc>
          <w:tcPr>
            <w:tcW w:w="1429" w:type="dxa"/>
            <w:noWrap w:val="0"/>
            <w:vAlign w:val="top"/>
          </w:tcPr>
          <w:p w14:paraId="0DF5FA9C">
            <w:pPr>
              <w:spacing w:line="360" w:lineRule="auto"/>
              <w:jc w:val="center"/>
              <w:rPr>
                <w:rFonts w:hint="eastAsia" w:ascii="宋体" w:hAnsi="宋体" w:cs="宋体"/>
                <w:color w:val="000000"/>
                <w:szCs w:val="21"/>
              </w:rPr>
            </w:pPr>
          </w:p>
        </w:tc>
        <w:tc>
          <w:tcPr>
            <w:tcW w:w="1284" w:type="dxa"/>
            <w:noWrap w:val="0"/>
            <w:vAlign w:val="top"/>
          </w:tcPr>
          <w:p w14:paraId="16C76C4E">
            <w:pPr>
              <w:spacing w:line="360" w:lineRule="auto"/>
              <w:jc w:val="center"/>
              <w:rPr>
                <w:rFonts w:hint="eastAsia" w:ascii="宋体" w:hAnsi="宋体" w:cs="宋体"/>
                <w:color w:val="000000"/>
                <w:szCs w:val="21"/>
              </w:rPr>
            </w:pPr>
          </w:p>
        </w:tc>
      </w:tr>
      <w:tr w14:paraId="3445F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3" w:hRule="atLeast"/>
          <w:jc w:val="center"/>
        </w:trPr>
        <w:tc>
          <w:tcPr>
            <w:tcW w:w="595" w:type="dxa"/>
            <w:noWrap w:val="0"/>
            <w:vAlign w:val="top"/>
          </w:tcPr>
          <w:p w14:paraId="49DBA69F">
            <w:pPr>
              <w:spacing w:line="360" w:lineRule="auto"/>
              <w:jc w:val="center"/>
              <w:rPr>
                <w:rFonts w:hint="eastAsia" w:ascii="宋体" w:hAnsi="宋体" w:cs="宋体"/>
                <w:color w:val="000000"/>
                <w:szCs w:val="21"/>
              </w:rPr>
            </w:pPr>
          </w:p>
        </w:tc>
        <w:tc>
          <w:tcPr>
            <w:tcW w:w="3596" w:type="dxa"/>
            <w:noWrap w:val="0"/>
            <w:vAlign w:val="top"/>
          </w:tcPr>
          <w:p w14:paraId="519D5CB2">
            <w:pPr>
              <w:spacing w:line="360" w:lineRule="auto"/>
              <w:jc w:val="center"/>
              <w:rPr>
                <w:rFonts w:hint="eastAsia" w:ascii="宋体" w:hAnsi="宋体" w:cs="宋体"/>
                <w:color w:val="000000"/>
                <w:szCs w:val="21"/>
              </w:rPr>
            </w:pPr>
            <w:r>
              <w:rPr>
                <w:rFonts w:hint="eastAsia" w:ascii="宋体" w:hAnsi="宋体" w:cs="宋体"/>
                <w:color w:val="000000"/>
                <w:szCs w:val="21"/>
              </w:rPr>
              <w:t>……</w:t>
            </w:r>
          </w:p>
        </w:tc>
        <w:tc>
          <w:tcPr>
            <w:tcW w:w="3116" w:type="dxa"/>
            <w:noWrap w:val="0"/>
            <w:vAlign w:val="top"/>
          </w:tcPr>
          <w:p w14:paraId="423EED1B">
            <w:pPr>
              <w:spacing w:line="360" w:lineRule="auto"/>
              <w:jc w:val="center"/>
              <w:rPr>
                <w:rFonts w:hint="eastAsia" w:ascii="宋体" w:hAnsi="宋体" w:cs="宋体"/>
                <w:color w:val="000000"/>
                <w:szCs w:val="21"/>
              </w:rPr>
            </w:pPr>
          </w:p>
        </w:tc>
        <w:tc>
          <w:tcPr>
            <w:tcW w:w="1429" w:type="dxa"/>
            <w:noWrap w:val="0"/>
            <w:vAlign w:val="top"/>
          </w:tcPr>
          <w:p w14:paraId="6B5CE643">
            <w:pPr>
              <w:spacing w:line="360" w:lineRule="auto"/>
              <w:jc w:val="center"/>
              <w:rPr>
                <w:rFonts w:hint="eastAsia" w:ascii="宋体" w:hAnsi="宋体" w:cs="宋体"/>
                <w:color w:val="000000"/>
                <w:szCs w:val="21"/>
              </w:rPr>
            </w:pPr>
          </w:p>
        </w:tc>
        <w:tc>
          <w:tcPr>
            <w:tcW w:w="1284" w:type="dxa"/>
            <w:noWrap w:val="0"/>
            <w:vAlign w:val="top"/>
          </w:tcPr>
          <w:p w14:paraId="17801D94">
            <w:pPr>
              <w:spacing w:line="360" w:lineRule="auto"/>
              <w:jc w:val="center"/>
              <w:rPr>
                <w:rFonts w:hint="eastAsia" w:ascii="宋体" w:hAnsi="宋体" w:cs="宋体"/>
                <w:color w:val="000000"/>
                <w:szCs w:val="21"/>
              </w:rPr>
            </w:pPr>
          </w:p>
        </w:tc>
      </w:tr>
    </w:tbl>
    <w:p w14:paraId="634633CD">
      <w:pPr>
        <w:tabs>
          <w:tab w:val="left" w:pos="1800"/>
          <w:tab w:val="left" w:pos="5580"/>
        </w:tabs>
        <w:jc w:val="left"/>
        <w:rPr>
          <w:rFonts w:hint="eastAsia" w:ascii="宋体" w:hAnsi="宋体" w:cs="宋体"/>
          <w:color w:val="000000"/>
          <w:szCs w:val="21"/>
        </w:rPr>
      </w:pPr>
    </w:p>
    <w:p w14:paraId="4A9F55B2">
      <w:pPr>
        <w:tabs>
          <w:tab w:val="left" w:pos="1800"/>
          <w:tab w:val="left" w:pos="5580"/>
        </w:tabs>
        <w:jc w:val="left"/>
        <w:rPr>
          <w:rFonts w:hint="eastAsia" w:ascii="宋体" w:hAnsi="宋体" w:cs="宋体"/>
          <w:color w:val="000000"/>
          <w:szCs w:val="21"/>
        </w:rPr>
      </w:pPr>
      <w:r>
        <w:rPr>
          <w:rFonts w:hint="eastAsia" w:ascii="宋体" w:hAnsi="宋体" w:cs="宋体"/>
          <w:color w:val="000000"/>
          <w:szCs w:val="21"/>
        </w:rPr>
        <w:t>注：</w:t>
      </w:r>
    </w:p>
    <w:p w14:paraId="09C5BDD1">
      <w:pPr>
        <w:tabs>
          <w:tab w:val="left" w:pos="1800"/>
          <w:tab w:val="left" w:pos="5580"/>
        </w:tabs>
        <w:jc w:val="left"/>
        <w:rPr>
          <w:rFonts w:hint="eastAsia" w:ascii="宋体" w:hAnsi="宋体" w:cs="宋体"/>
          <w:color w:val="000000"/>
          <w:szCs w:val="21"/>
        </w:rPr>
      </w:pPr>
      <w:r>
        <w:rPr>
          <w:rFonts w:hint="eastAsia" w:ascii="宋体" w:hAnsi="宋体" w:cs="宋体"/>
          <w:color w:val="000000"/>
          <w:szCs w:val="21"/>
        </w:rPr>
        <w:t>1.除本表所列明的所有偏离外，均视作供应商已对之理解和投标。</w:t>
      </w:r>
    </w:p>
    <w:p w14:paraId="79531345">
      <w:pPr>
        <w:tabs>
          <w:tab w:val="left" w:pos="1800"/>
          <w:tab w:val="left" w:pos="5580"/>
        </w:tabs>
        <w:jc w:val="left"/>
        <w:rPr>
          <w:rFonts w:hint="eastAsia" w:ascii="宋体" w:hAnsi="宋体" w:cs="宋体"/>
          <w:color w:val="000000"/>
          <w:szCs w:val="21"/>
        </w:rPr>
      </w:pPr>
      <w:r>
        <w:rPr>
          <w:rFonts w:hint="eastAsia" w:ascii="宋体" w:hAnsi="宋体" w:cs="宋体"/>
          <w:color w:val="000000"/>
          <w:szCs w:val="21"/>
        </w:rPr>
        <w:t>2.“偏离情况”列应据实填写“正偏离”或“负偏离”。</w:t>
      </w:r>
    </w:p>
    <w:p w14:paraId="5C65B41F">
      <w:pPr>
        <w:spacing w:line="360" w:lineRule="auto"/>
        <w:rPr>
          <w:color w:val="000000"/>
          <w:sz w:val="24"/>
        </w:rPr>
      </w:pPr>
    </w:p>
    <w:p w14:paraId="71178238">
      <w:pPr>
        <w:rPr>
          <w:rFonts w:hint="eastAsia" w:ascii="宋体" w:hAnsi="宋体" w:cs="宋体"/>
          <w:szCs w:val="21"/>
        </w:rPr>
      </w:pPr>
      <w:r>
        <w:rPr>
          <w:rFonts w:hint="eastAsia" w:ascii="宋体" w:hAnsi="宋体" w:cs="宋体"/>
          <w:szCs w:val="21"/>
        </w:rPr>
        <w:t xml:space="preserve">竞标单位（盖章）：                    </w:t>
      </w:r>
    </w:p>
    <w:p w14:paraId="3582BEC8">
      <w:pPr>
        <w:spacing w:line="360" w:lineRule="exact"/>
        <w:rPr>
          <w:rFonts w:hint="eastAsia" w:ascii="宋体" w:hAnsi="宋体" w:cs="宋体"/>
          <w:color w:val="000000"/>
          <w:szCs w:val="21"/>
        </w:rPr>
      </w:pPr>
    </w:p>
    <w:p w14:paraId="79F21A5A">
      <w:pPr>
        <w:spacing w:line="360" w:lineRule="exact"/>
        <w:rPr>
          <w:rFonts w:hint="eastAsia" w:ascii="宋体" w:hAnsi="宋体" w:cs="宋体"/>
          <w:color w:val="000000"/>
          <w:szCs w:val="21"/>
        </w:rPr>
      </w:pPr>
      <w:r>
        <w:rPr>
          <w:rFonts w:hint="eastAsia" w:ascii="宋体" w:hAnsi="宋体" w:cs="宋体"/>
          <w:color w:val="000000"/>
          <w:szCs w:val="21"/>
        </w:rPr>
        <w:t>法定代表人或代理人（签字或盖章）：</w:t>
      </w:r>
    </w:p>
    <w:p w14:paraId="1F0ABFE2">
      <w:pPr>
        <w:spacing w:line="360" w:lineRule="exact"/>
        <w:rPr>
          <w:rFonts w:hint="eastAsia" w:ascii="宋体" w:hAnsi="宋体" w:cs="宋体"/>
          <w:color w:val="000000"/>
          <w:szCs w:val="21"/>
        </w:rPr>
      </w:pPr>
    </w:p>
    <w:p w14:paraId="09D346F8">
      <w:pPr>
        <w:spacing w:line="360" w:lineRule="exact"/>
        <w:rPr>
          <w:rFonts w:hint="eastAsia" w:ascii="宋体" w:hAnsi="宋体" w:cs="宋体"/>
          <w:color w:val="000000"/>
          <w:szCs w:val="21"/>
        </w:rPr>
      </w:pPr>
      <w:r>
        <w:rPr>
          <w:rFonts w:hint="eastAsia" w:ascii="宋体" w:hAnsi="宋体" w:cs="宋体"/>
          <w:color w:val="000000"/>
          <w:szCs w:val="21"/>
        </w:rPr>
        <w:t>日期：      年  月   日</w:t>
      </w:r>
    </w:p>
    <w:p w14:paraId="0F24DFBF">
      <w:pPr>
        <w:spacing w:line="360" w:lineRule="auto"/>
        <w:rPr>
          <w:rFonts w:ascii="宋体" w:hAnsi="宋体" w:cs="宋体"/>
          <w:color w:val="000000"/>
          <w:sz w:val="24"/>
          <w:szCs w:val="24"/>
        </w:rPr>
      </w:pPr>
    </w:p>
    <w:p w14:paraId="3F4A3C3C">
      <w:pPr>
        <w:spacing w:line="360" w:lineRule="auto"/>
        <w:rPr>
          <w:rFonts w:ascii="宋体" w:hAnsi="宋体" w:cs="宋体"/>
          <w:color w:val="000000"/>
          <w:sz w:val="24"/>
          <w:szCs w:val="24"/>
        </w:rPr>
      </w:pPr>
    </w:p>
    <w:bookmarkEnd w:id="48"/>
    <w:p w14:paraId="432CB4C2">
      <w:pPr>
        <w:rPr>
          <w:rFonts w:ascii="宋体" w:hAnsi="宋体" w:cs="宋体"/>
          <w:b/>
          <w:sz w:val="28"/>
          <w:szCs w:val="28"/>
        </w:rPr>
      </w:pPr>
      <w:r>
        <w:rPr>
          <w:rFonts w:hint="eastAsia" w:ascii="宋体" w:hAnsi="宋体" w:cs="宋体"/>
          <w:b/>
          <w:sz w:val="32"/>
          <w:szCs w:val="32"/>
        </w:rPr>
        <w:t>附件6：供应商管理关系或控股关系信息情况表</w:t>
      </w:r>
    </w:p>
    <w:p w14:paraId="311A42E9">
      <w:pPr>
        <w:autoSpaceDE w:val="0"/>
        <w:autoSpaceDN w:val="0"/>
        <w:adjustRightInd w:val="0"/>
        <w:spacing w:line="360" w:lineRule="auto"/>
        <w:jc w:val="center"/>
        <w:rPr>
          <w:rFonts w:ascii="宋体" w:hAnsi="宋体" w:cs="宋体"/>
          <w:b/>
          <w:sz w:val="28"/>
          <w:szCs w:val="28"/>
        </w:rPr>
      </w:pPr>
    </w:p>
    <w:p w14:paraId="492FD730">
      <w:pPr>
        <w:autoSpaceDE w:val="0"/>
        <w:autoSpaceDN w:val="0"/>
        <w:adjustRightInd w:val="0"/>
        <w:spacing w:line="360" w:lineRule="auto"/>
        <w:jc w:val="center"/>
        <w:rPr>
          <w:rFonts w:ascii="宋体" w:hAnsi="宋体" w:cs="宋体"/>
          <w:b/>
          <w:sz w:val="28"/>
          <w:szCs w:val="28"/>
        </w:rPr>
      </w:pPr>
      <w:r>
        <w:rPr>
          <w:rFonts w:hint="eastAsia" w:ascii="宋体" w:hAnsi="宋体" w:cs="宋体"/>
          <w:b/>
          <w:sz w:val="28"/>
          <w:szCs w:val="28"/>
        </w:rPr>
        <w:t>供应商管理关系或控股关系信息情况表</w:t>
      </w:r>
    </w:p>
    <w:tbl>
      <w:tblPr>
        <w:tblStyle w:val="26"/>
        <w:tblW w:w="87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496"/>
        <w:gridCol w:w="1994"/>
        <w:gridCol w:w="1453"/>
        <w:gridCol w:w="2808"/>
      </w:tblGrid>
      <w:tr w14:paraId="05B9C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3" w:hRule="atLeast"/>
          <w:jc w:val="center"/>
        </w:trPr>
        <w:tc>
          <w:tcPr>
            <w:tcW w:w="2496" w:type="dxa"/>
            <w:vAlign w:val="center"/>
          </w:tcPr>
          <w:p w14:paraId="3B52C946">
            <w:pPr>
              <w:spacing w:line="520" w:lineRule="exact"/>
              <w:ind w:firstLine="560"/>
              <w:jc w:val="left"/>
              <w:rPr>
                <w:rFonts w:ascii="宋体" w:hAnsi="宋体" w:cs="宋体"/>
                <w:szCs w:val="21"/>
              </w:rPr>
            </w:pPr>
            <w:r>
              <w:rPr>
                <w:rFonts w:hint="eastAsia" w:ascii="宋体" w:hAnsi="宋体" w:cs="宋体"/>
                <w:szCs w:val="21"/>
              </w:rPr>
              <w:t>法定代表人</w:t>
            </w:r>
          </w:p>
        </w:tc>
        <w:tc>
          <w:tcPr>
            <w:tcW w:w="1994" w:type="dxa"/>
            <w:vAlign w:val="center"/>
          </w:tcPr>
          <w:p w14:paraId="4B73D190">
            <w:pPr>
              <w:spacing w:line="520" w:lineRule="exact"/>
              <w:ind w:firstLine="560"/>
              <w:jc w:val="left"/>
              <w:rPr>
                <w:rFonts w:ascii="宋体" w:hAnsi="宋体" w:cs="宋体"/>
                <w:szCs w:val="21"/>
              </w:rPr>
            </w:pPr>
          </w:p>
        </w:tc>
        <w:tc>
          <w:tcPr>
            <w:tcW w:w="1453" w:type="dxa"/>
            <w:vAlign w:val="center"/>
          </w:tcPr>
          <w:p w14:paraId="27830510">
            <w:pPr>
              <w:spacing w:line="520" w:lineRule="exact"/>
              <w:jc w:val="left"/>
              <w:rPr>
                <w:rFonts w:ascii="宋体" w:hAnsi="宋体" w:cs="宋体"/>
                <w:szCs w:val="21"/>
              </w:rPr>
            </w:pPr>
            <w:r>
              <w:rPr>
                <w:rFonts w:hint="eastAsia" w:ascii="宋体" w:hAnsi="宋体" w:cs="宋体"/>
                <w:szCs w:val="21"/>
              </w:rPr>
              <w:t>成立日期</w:t>
            </w:r>
          </w:p>
        </w:tc>
        <w:tc>
          <w:tcPr>
            <w:tcW w:w="2806" w:type="dxa"/>
            <w:vAlign w:val="center"/>
          </w:tcPr>
          <w:p w14:paraId="45159F6B">
            <w:pPr>
              <w:spacing w:line="520" w:lineRule="exact"/>
              <w:ind w:firstLine="560"/>
              <w:jc w:val="left"/>
              <w:rPr>
                <w:rFonts w:ascii="宋体" w:hAnsi="宋体" w:cs="宋体"/>
                <w:szCs w:val="21"/>
              </w:rPr>
            </w:pPr>
          </w:p>
        </w:tc>
      </w:tr>
      <w:tr w14:paraId="370DD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vAlign w:val="center"/>
          </w:tcPr>
          <w:p w14:paraId="5D30BE46">
            <w:pPr>
              <w:spacing w:line="520" w:lineRule="exact"/>
              <w:ind w:firstLine="560"/>
              <w:jc w:val="left"/>
              <w:rPr>
                <w:rFonts w:ascii="宋体" w:hAnsi="宋体" w:cs="宋体"/>
                <w:szCs w:val="21"/>
              </w:rPr>
            </w:pPr>
            <w:r>
              <w:rPr>
                <w:rFonts w:hint="eastAsia" w:ascii="宋体" w:hAnsi="宋体" w:cs="宋体"/>
                <w:szCs w:val="21"/>
              </w:rPr>
              <w:t>企业地址</w:t>
            </w:r>
          </w:p>
        </w:tc>
        <w:tc>
          <w:tcPr>
            <w:tcW w:w="1994" w:type="dxa"/>
            <w:vAlign w:val="center"/>
          </w:tcPr>
          <w:p w14:paraId="261638B7">
            <w:pPr>
              <w:spacing w:line="520" w:lineRule="exact"/>
              <w:ind w:firstLine="560"/>
              <w:jc w:val="left"/>
              <w:rPr>
                <w:rFonts w:ascii="宋体" w:hAnsi="宋体" w:cs="宋体"/>
                <w:szCs w:val="21"/>
              </w:rPr>
            </w:pPr>
          </w:p>
        </w:tc>
        <w:tc>
          <w:tcPr>
            <w:tcW w:w="1453" w:type="dxa"/>
            <w:vAlign w:val="center"/>
          </w:tcPr>
          <w:p w14:paraId="142008C5">
            <w:pPr>
              <w:spacing w:line="520" w:lineRule="exact"/>
              <w:jc w:val="left"/>
              <w:rPr>
                <w:rFonts w:ascii="宋体" w:hAnsi="宋体" w:cs="宋体"/>
                <w:szCs w:val="21"/>
              </w:rPr>
            </w:pPr>
            <w:r>
              <w:rPr>
                <w:rFonts w:hint="eastAsia" w:ascii="宋体" w:hAnsi="宋体" w:cs="宋体"/>
                <w:szCs w:val="21"/>
              </w:rPr>
              <w:t>注册资本</w:t>
            </w:r>
          </w:p>
        </w:tc>
        <w:tc>
          <w:tcPr>
            <w:tcW w:w="2806" w:type="dxa"/>
            <w:vAlign w:val="center"/>
          </w:tcPr>
          <w:p w14:paraId="792A4094">
            <w:pPr>
              <w:spacing w:line="520" w:lineRule="exact"/>
              <w:ind w:firstLine="560"/>
              <w:jc w:val="left"/>
              <w:rPr>
                <w:rFonts w:ascii="宋体" w:hAnsi="宋体" w:cs="宋体"/>
                <w:szCs w:val="21"/>
              </w:rPr>
            </w:pPr>
            <w:r>
              <w:rPr>
                <w:rFonts w:hint="eastAsia" w:ascii="宋体" w:hAnsi="宋体" w:cs="宋体"/>
                <w:szCs w:val="21"/>
              </w:rPr>
              <w:t>万元</w:t>
            </w:r>
          </w:p>
        </w:tc>
      </w:tr>
      <w:tr w14:paraId="2124D3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vAlign w:val="center"/>
          </w:tcPr>
          <w:p w14:paraId="4BC5C4FC">
            <w:pPr>
              <w:spacing w:line="520" w:lineRule="exact"/>
              <w:jc w:val="center"/>
              <w:rPr>
                <w:rFonts w:ascii="宋体" w:hAnsi="宋体" w:cs="宋体"/>
                <w:szCs w:val="21"/>
              </w:rPr>
            </w:pPr>
            <w:r>
              <w:rPr>
                <w:rFonts w:hint="eastAsia" w:ascii="宋体" w:hAnsi="宋体" w:cs="宋体"/>
                <w:szCs w:val="21"/>
              </w:rPr>
              <w:t>统一社会信用代码</w:t>
            </w:r>
          </w:p>
        </w:tc>
        <w:tc>
          <w:tcPr>
            <w:tcW w:w="6255" w:type="dxa"/>
            <w:gridSpan w:val="3"/>
            <w:vAlign w:val="center"/>
          </w:tcPr>
          <w:p w14:paraId="4C3A04AA">
            <w:pPr>
              <w:spacing w:line="520" w:lineRule="exact"/>
              <w:ind w:firstLine="560"/>
              <w:jc w:val="left"/>
              <w:rPr>
                <w:rFonts w:ascii="宋体" w:hAnsi="宋体" w:cs="宋体"/>
                <w:szCs w:val="21"/>
              </w:rPr>
            </w:pPr>
          </w:p>
        </w:tc>
      </w:tr>
      <w:tr w14:paraId="0CD9ED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vAlign w:val="center"/>
          </w:tcPr>
          <w:p w14:paraId="36379B68">
            <w:pPr>
              <w:spacing w:line="520" w:lineRule="exact"/>
              <w:ind w:firstLine="560"/>
              <w:jc w:val="left"/>
              <w:rPr>
                <w:rFonts w:ascii="宋体" w:hAnsi="宋体" w:cs="宋体"/>
                <w:szCs w:val="21"/>
              </w:rPr>
            </w:pPr>
            <w:r>
              <w:rPr>
                <w:rFonts w:hint="eastAsia" w:ascii="宋体" w:hAnsi="宋体" w:cs="宋体"/>
                <w:szCs w:val="21"/>
              </w:rPr>
              <w:t>经营范围</w:t>
            </w:r>
          </w:p>
        </w:tc>
        <w:tc>
          <w:tcPr>
            <w:tcW w:w="6255" w:type="dxa"/>
            <w:gridSpan w:val="3"/>
            <w:vAlign w:val="center"/>
          </w:tcPr>
          <w:p w14:paraId="1968E52C">
            <w:pPr>
              <w:spacing w:line="520" w:lineRule="exact"/>
              <w:ind w:firstLine="560"/>
              <w:jc w:val="left"/>
              <w:rPr>
                <w:rFonts w:ascii="宋体" w:hAnsi="宋体" w:cs="宋体"/>
                <w:szCs w:val="21"/>
              </w:rPr>
            </w:pPr>
          </w:p>
        </w:tc>
      </w:tr>
      <w:tr w14:paraId="35AFD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 w:hRule="atLeast"/>
          <w:jc w:val="center"/>
        </w:trPr>
        <w:tc>
          <w:tcPr>
            <w:tcW w:w="2496" w:type="dxa"/>
            <w:vAlign w:val="center"/>
          </w:tcPr>
          <w:p w14:paraId="277A6C3D">
            <w:pPr>
              <w:spacing w:line="520" w:lineRule="exact"/>
              <w:ind w:firstLine="560"/>
              <w:jc w:val="left"/>
              <w:rPr>
                <w:rFonts w:ascii="宋体" w:hAnsi="宋体" w:cs="宋体"/>
                <w:szCs w:val="21"/>
              </w:rPr>
            </w:pPr>
            <w:r>
              <w:rPr>
                <w:rFonts w:hint="eastAsia" w:ascii="宋体" w:hAnsi="宋体" w:cs="宋体"/>
                <w:szCs w:val="21"/>
              </w:rPr>
              <w:t>股东信息</w:t>
            </w:r>
          </w:p>
        </w:tc>
        <w:tc>
          <w:tcPr>
            <w:tcW w:w="6255" w:type="dxa"/>
            <w:gridSpan w:val="3"/>
            <w:vAlign w:val="center"/>
          </w:tcPr>
          <w:p w14:paraId="737BDA28">
            <w:pPr>
              <w:spacing w:line="480" w:lineRule="exact"/>
              <w:jc w:val="left"/>
              <w:rPr>
                <w:rFonts w:ascii="宋体" w:hAnsi="宋体" w:cs="宋体"/>
                <w:szCs w:val="21"/>
              </w:rPr>
            </w:pPr>
            <w:r>
              <w:rPr>
                <w:rFonts w:hint="eastAsia" w:ascii="宋体" w:hAnsi="宋体" w:cs="宋体"/>
                <w:szCs w:val="21"/>
              </w:rPr>
              <w:t>股东1（姓名或单位名称）：</w:t>
            </w:r>
          </w:p>
          <w:p w14:paraId="06A6AA0F">
            <w:pPr>
              <w:spacing w:line="480" w:lineRule="exact"/>
              <w:jc w:val="left"/>
              <w:rPr>
                <w:rFonts w:ascii="宋体" w:hAnsi="宋体" w:cs="宋体"/>
                <w:szCs w:val="21"/>
              </w:rPr>
            </w:pPr>
            <w:r>
              <w:rPr>
                <w:rFonts w:hint="eastAsia" w:ascii="宋体" w:hAnsi="宋体" w:cs="宋体"/>
                <w:szCs w:val="21"/>
              </w:rPr>
              <w:t>股东1持股比例：</w:t>
            </w:r>
          </w:p>
          <w:p w14:paraId="1699C1B4">
            <w:pPr>
              <w:spacing w:line="480" w:lineRule="exact"/>
              <w:jc w:val="left"/>
              <w:rPr>
                <w:rFonts w:ascii="宋体" w:hAnsi="宋体" w:cs="宋体"/>
                <w:szCs w:val="21"/>
              </w:rPr>
            </w:pPr>
          </w:p>
          <w:p w14:paraId="56641CAE">
            <w:pPr>
              <w:spacing w:line="480" w:lineRule="exact"/>
              <w:jc w:val="left"/>
              <w:rPr>
                <w:rFonts w:ascii="宋体" w:hAnsi="宋体" w:cs="宋体"/>
                <w:szCs w:val="21"/>
              </w:rPr>
            </w:pPr>
            <w:r>
              <w:rPr>
                <w:rFonts w:hint="eastAsia" w:ascii="宋体" w:hAnsi="宋体" w:cs="宋体"/>
                <w:szCs w:val="21"/>
              </w:rPr>
              <w:t>股东2（姓名或单位名称）：</w:t>
            </w:r>
          </w:p>
          <w:p w14:paraId="5D84152F">
            <w:pPr>
              <w:spacing w:line="480" w:lineRule="exact"/>
              <w:jc w:val="left"/>
              <w:rPr>
                <w:rFonts w:ascii="宋体" w:hAnsi="宋体" w:cs="宋体"/>
                <w:szCs w:val="21"/>
              </w:rPr>
            </w:pPr>
            <w:r>
              <w:rPr>
                <w:rFonts w:hint="eastAsia" w:ascii="宋体" w:hAnsi="宋体" w:cs="宋体"/>
                <w:szCs w:val="21"/>
              </w:rPr>
              <w:t>股东2持股比例：</w:t>
            </w:r>
          </w:p>
          <w:p w14:paraId="0EBCA9CD">
            <w:pPr>
              <w:spacing w:line="480" w:lineRule="exact"/>
              <w:jc w:val="left"/>
              <w:rPr>
                <w:rFonts w:ascii="宋体" w:hAnsi="宋体" w:cs="宋体"/>
                <w:szCs w:val="21"/>
              </w:rPr>
            </w:pPr>
            <w:r>
              <w:rPr>
                <w:rFonts w:hint="eastAsia" w:ascii="宋体" w:hAnsi="宋体" w:cs="宋体"/>
                <w:szCs w:val="21"/>
              </w:rPr>
              <w:t>（不够的可自行增加）</w:t>
            </w:r>
          </w:p>
        </w:tc>
      </w:tr>
      <w:tr w14:paraId="0598B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2496" w:type="dxa"/>
            <w:vAlign w:val="center"/>
          </w:tcPr>
          <w:p w14:paraId="4E219BE7">
            <w:pPr>
              <w:spacing w:line="520" w:lineRule="exact"/>
              <w:jc w:val="left"/>
              <w:rPr>
                <w:rFonts w:ascii="宋体" w:hAnsi="宋体" w:cs="宋体"/>
                <w:szCs w:val="21"/>
              </w:rPr>
            </w:pPr>
            <w:r>
              <w:rPr>
                <w:rFonts w:hint="eastAsia" w:ascii="宋体" w:hAnsi="宋体" w:cs="宋体"/>
                <w:szCs w:val="21"/>
              </w:rPr>
              <w:t>公司是否有直接控股、管理关系的关联企业（在</w:t>
            </w:r>
            <w:r>
              <w:rPr>
                <w:rFonts w:hint="eastAsia" w:ascii="宋体" w:hAnsi="宋体" w:cs="宋体"/>
                <w:szCs w:val="21"/>
              </w:rPr>
              <w:sym w:font="Wingdings 2" w:char="00A3"/>
            </w:r>
            <w:r>
              <w:rPr>
                <w:rFonts w:hint="eastAsia" w:ascii="宋体" w:hAnsi="宋体" w:cs="宋体"/>
                <w:szCs w:val="21"/>
              </w:rPr>
              <w:t xml:space="preserve"> 中进行勾选）</w:t>
            </w:r>
          </w:p>
        </w:tc>
        <w:tc>
          <w:tcPr>
            <w:tcW w:w="6255" w:type="dxa"/>
            <w:gridSpan w:val="3"/>
            <w:vAlign w:val="center"/>
          </w:tcPr>
          <w:p w14:paraId="60FCA9AD">
            <w:pPr>
              <w:spacing w:line="500" w:lineRule="exact"/>
              <w:jc w:val="left"/>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 无直接控股、管理关系的关联企业</w:t>
            </w:r>
          </w:p>
          <w:p w14:paraId="1DD021E7">
            <w:pPr>
              <w:spacing w:line="500" w:lineRule="exact"/>
              <w:jc w:val="left"/>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 有直接控股、管理关系的关联企业，关联信息如下：</w:t>
            </w:r>
          </w:p>
          <w:p w14:paraId="63604A71">
            <w:pPr>
              <w:spacing w:line="500" w:lineRule="exact"/>
              <w:jc w:val="left"/>
              <w:rPr>
                <w:rFonts w:ascii="宋体" w:hAnsi="宋体" w:cs="宋体"/>
                <w:szCs w:val="21"/>
              </w:rPr>
            </w:pPr>
            <w:r>
              <w:rPr>
                <w:rFonts w:hint="eastAsia" w:ascii="宋体" w:hAnsi="宋体" w:cs="宋体"/>
                <w:szCs w:val="21"/>
              </w:rPr>
              <w:t>企业1名称：</w:t>
            </w:r>
          </w:p>
          <w:p w14:paraId="55621079">
            <w:pPr>
              <w:spacing w:line="500" w:lineRule="exact"/>
              <w:jc w:val="left"/>
              <w:rPr>
                <w:rFonts w:ascii="宋体" w:hAnsi="宋体" w:cs="宋体"/>
                <w:szCs w:val="21"/>
              </w:rPr>
            </w:pPr>
            <w:r>
              <w:rPr>
                <w:rFonts w:hint="eastAsia" w:ascii="宋体" w:hAnsi="宋体" w:cs="宋体"/>
                <w:szCs w:val="21"/>
              </w:rPr>
              <w:t>（直接控股</w:t>
            </w:r>
            <w:r>
              <w:rPr>
                <w:rFonts w:hint="eastAsia" w:ascii="宋体" w:hAnsi="宋体" w:cs="宋体"/>
                <w:szCs w:val="21"/>
              </w:rPr>
              <w:sym w:font="Wingdings 2" w:char="00A3"/>
            </w:r>
            <w:r>
              <w:rPr>
                <w:rFonts w:hint="eastAsia" w:ascii="宋体" w:hAnsi="宋体" w:cs="宋体"/>
                <w:szCs w:val="21"/>
              </w:rPr>
              <w:t xml:space="preserve"> （持股比例：    % ；管理关系</w:t>
            </w:r>
            <w:r>
              <w:rPr>
                <w:rFonts w:hint="eastAsia" w:ascii="宋体" w:hAnsi="宋体" w:cs="宋体"/>
                <w:szCs w:val="21"/>
              </w:rPr>
              <w:sym w:font="Wingdings 2" w:char="00A3"/>
            </w:r>
            <w:r>
              <w:rPr>
                <w:rFonts w:hint="eastAsia" w:ascii="宋体" w:hAnsi="宋体" w:cs="宋体"/>
                <w:szCs w:val="21"/>
              </w:rPr>
              <w:t xml:space="preserve"> ）</w:t>
            </w:r>
          </w:p>
          <w:p w14:paraId="780CD63F">
            <w:pPr>
              <w:spacing w:line="500" w:lineRule="exact"/>
              <w:jc w:val="left"/>
              <w:rPr>
                <w:rFonts w:ascii="宋体" w:hAnsi="宋体" w:cs="宋体"/>
                <w:szCs w:val="21"/>
              </w:rPr>
            </w:pPr>
            <w:r>
              <w:rPr>
                <w:rFonts w:hint="eastAsia" w:ascii="宋体" w:hAnsi="宋体" w:cs="宋体"/>
                <w:szCs w:val="21"/>
              </w:rPr>
              <w:t>企业2名称：</w:t>
            </w:r>
          </w:p>
          <w:p w14:paraId="412CDDC9">
            <w:pPr>
              <w:spacing w:line="500" w:lineRule="exact"/>
              <w:jc w:val="left"/>
              <w:rPr>
                <w:rFonts w:ascii="宋体" w:hAnsi="宋体" w:cs="宋体"/>
                <w:szCs w:val="21"/>
              </w:rPr>
            </w:pPr>
            <w:r>
              <w:rPr>
                <w:rFonts w:hint="eastAsia" w:ascii="宋体" w:hAnsi="宋体" w:cs="宋体"/>
                <w:szCs w:val="21"/>
              </w:rPr>
              <w:t>（直接控股</w:t>
            </w:r>
            <w:r>
              <w:rPr>
                <w:rFonts w:hint="eastAsia" w:ascii="宋体" w:hAnsi="宋体" w:cs="宋体"/>
                <w:szCs w:val="21"/>
              </w:rPr>
              <w:sym w:font="Wingdings 2" w:char="00A3"/>
            </w:r>
            <w:r>
              <w:rPr>
                <w:rFonts w:hint="eastAsia" w:ascii="宋体" w:hAnsi="宋体" w:cs="宋体"/>
                <w:szCs w:val="21"/>
              </w:rPr>
              <w:t xml:space="preserve"> （持股比例：    % ；管理关系</w:t>
            </w:r>
            <w:r>
              <w:rPr>
                <w:rFonts w:hint="eastAsia" w:ascii="宋体" w:hAnsi="宋体" w:cs="宋体"/>
                <w:szCs w:val="21"/>
              </w:rPr>
              <w:sym w:font="Wingdings 2" w:char="00A3"/>
            </w:r>
            <w:r>
              <w:rPr>
                <w:rFonts w:hint="eastAsia" w:ascii="宋体" w:hAnsi="宋体" w:cs="宋体"/>
                <w:szCs w:val="21"/>
              </w:rPr>
              <w:t xml:space="preserve"> ）</w:t>
            </w:r>
          </w:p>
          <w:p w14:paraId="0B07BBE7">
            <w:pPr>
              <w:spacing w:line="500" w:lineRule="exact"/>
              <w:jc w:val="left"/>
              <w:rPr>
                <w:rFonts w:ascii="宋体" w:hAnsi="宋体" w:cs="宋体"/>
                <w:szCs w:val="21"/>
              </w:rPr>
            </w:pPr>
            <w:r>
              <w:rPr>
                <w:rFonts w:hint="eastAsia" w:ascii="宋体" w:hAnsi="宋体" w:cs="宋体"/>
                <w:szCs w:val="21"/>
              </w:rPr>
              <w:t>（不够的可自行增加）</w:t>
            </w:r>
          </w:p>
        </w:tc>
      </w:tr>
      <w:tr w14:paraId="72B23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02" w:hRule="atLeast"/>
          <w:jc w:val="center"/>
        </w:trPr>
        <w:tc>
          <w:tcPr>
            <w:tcW w:w="8751" w:type="dxa"/>
            <w:gridSpan w:val="4"/>
            <w:vAlign w:val="center"/>
          </w:tcPr>
          <w:p w14:paraId="4F20B4F3">
            <w:pPr>
              <w:spacing w:line="500" w:lineRule="exact"/>
              <w:ind w:firstLine="561"/>
              <w:jc w:val="left"/>
              <w:rPr>
                <w:rFonts w:ascii="宋体" w:hAnsi="宋体" w:cs="宋体"/>
                <w:szCs w:val="21"/>
              </w:rPr>
            </w:pPr>
            <w:r>
              <w:rPr>
                <w:rFonts w:hint="eastAsia" w:ascii="宋体" w:hAnsi="宋体" w:cs="宋体"/>
                <w:szCs w:val="21"/>
              </w:rPr>
              <w:t>上述信息内容与本单位提供给注册登记部门、行业管理部门、司法部门、行业组织以及在招标活动中提交的所有资料均合法、真实、有效，无任何伪造、修改、虚假成份，对所提供信息的真实性、完整性、准确性负责。</w:t>
            </w:r>
          </w:p>
          <w:p w14:paraId="74278D1F">
            <w:pPr>
              <w:spacing w:line="500" w:lineRule="exact"/>
              <w:ind w:firstLine="561"/>
              <w:jc w:val="left"/>
              <w:rPr>
                <w:rFonts w:ascii="宋体" w:hAnsi="宋体" w:cs="宋体"/>
                <w:szCs w:val="21"/>
              </w:rPr>
            </w:pPr>
            <w:r>
              <w:rPr>
                <w:rFonts w:hint="eastAsia" w:ascii="宋体" w:hAnsi="宋体" w:cs="宋体"/>
                <w:szCs w:val="21"/>
              </w:rPr>
              <w:t>供应商（盖章）：</w:t>
            </w:r>
          </w:p>
          <w:p w14:paraId="7CDE794D">
            <w:pPr>
              <w:spacing w:line="500" w:lineRule="exact"/>
              <w:ind w:firstLine="561"/>
              <w:jc w:val="left"/>
              <w:rPr>
                <w:rFonts w:ascii="宋体" w:hAnsi="宋体" w:cs="宋体"/>
                <w:szCs w:val="21"/>
              </w:rPr>
            </w:pPr>
            <w:r>
              <w:rPr>
                <w:rFonts w:hint="eastAsia" w:ascii="宋体" w:hAnsi="宋体" w:cs="宋体"/>
                <w:szCs w:val="21"/>
              </w:rPr>
              <w:t>法定代表人（签字或盖章）：</w:t>
            </w:r>
          </w:p>
          <w:p w14:paraId="4D8EDEDF">
            <w:pPr>
              <w:spacing w:line="520" w:lineRule="exact"/>
              <w:ind w:firstLine="560"/>
              <w:jc w:val="left"/>
              <w:rPr>
                <w:rFonts w:ascii="宋体" w:hAnsi="宋体" w:cs="宋体"/>
                <w:szCs w:val="21"/>
              </w:rPr>
            </w:pPr>
            <w:r>
              <w:rPr>
                <w:rFonts w:hint="eastAsia" w:ascii="宋体" w:hAnsi="宋体" w:cs="宋体"/>
                <w:szCs w:val="21"/>
              </w:rPr>
              <w:t xml:space="preserve">                                              日期：   年  月  日</w:t>
            </w:r>
          </w:p>
        </w:tc>
      </w:tr>
    </w:tbl>
    <w:p w14:paraId="607F96BB">
      <w:pPr>
        <w:pStyle w:val="5"/>
        <w:overflowPunct w:val="0"/>
        <w:spacing w:line="500" w:lineRule="exact"/>
        <w:ind w:firstLine="0"/>
        <w:rPr>
          <w:rFonts w:ascii="Times New Roman"/>
          <w:b/>
          <w:bCs/>
          <w:color w:val="000000"/>
          <w:sz w:val="30"/>
          <w:szCs w:val="30"/>
        </w:rPr>
      </w:pPr>
    </w:p>
    <w:p w14:paraId="1B44A198">
      <w:pPr>
        <w:jc w:val="left"/>
        <w:rPr>
          <w:rFonts w:hint="eastAsia" w:ascii="宋体" w:hAnsi="宋体" w:eastAsia="宋体" w:cs="宋体"/>
          <w:b/>
          <w:bCs/>
          <w:color w:val="000000"/>
          <w:sz w:val="30"/>
          <w:szCs w:val="30"/>
        </w:rPr>
      </w:pPr>
      <w:r>
        <w:rPr>
          <w:rFonts w:ascii="Times New Roman"/>
          <w:b/>
          <w:bCs/>
          <w:color w:val="000000"/>
          <w:sz w:val="30"/>
          <w:szCs w:val="30"/>
        </w:rPr>
        <w:t>附件</w:t>
      </w:r>
      <w:r>
        <w:rPr>
          <w:rFonts w:hint="eastAsia" w:ascii="Times New Roman"/>
          <w:b/>
          <w:bCs/>
          <w:color w:val="000000"/>
          <w:sz w:val="30"/>
          <w:szCs w:val="30"/>
        </w:rPr>
        <w:t>7</w:t>
      </w:r>
      <w:r>
        <w:rPr>
          <w:rFonts w:ascii="Times New Roman"/>
          <w:b/>
          <w:bCs/>
          <w:color w:val="000000"/>
          <w:sz w:val="30"/>
          <w:szCs w:val="30"/>
        </w:rPr>
        <w:t>：</w:t>
      </w:r>
      <w:r>
        <w:rPr>
          <w:rFonts w:hint="eastAsia" w:ascii="宋体" w:hAnsi="宋体" w:eastAsia="宋体" w:cs="宋体"/>
          <w:b/>
          <w:bCs/>
          <w:color w:val="000000"/>
          <w:sz w:val="30"/>
          <w:szCs w:val="30"/>
        </w:rPr>
        <w:t>质量保证、</w:t>
      </w:r>
      <w:r>
        <w:rPr>
          <w:rFonts w:hint="eastAsia" w:ascii="宋体" w:hAnsi="宋体" w:eastAsia="宋体" w:cs="宋体"/>
          <w:b/>
          <w:bCs/>
          <w:color w:val="000000"/>
          <w:sz w:val="30"/>
          <w:szCs w:val="30"/>
          <w:lang w:val="en-US" w:eastAsia="zh-CN"/>
        </w:rPr>
        <w:t>售后</w:t>
      </w:r>
      <w:r>
        <w:rPr>
          <w:rFonts w:hint="eastAsia" w:ascii="宋体" w:hAnsi="宋体" w:eastAsia="宋体" w:cs="宋体"/>
          <w:b/>
          <w:bCs/>
          <w:color w:val="000000"/>
          <w:sz w:val="30"/>
          <w:szCs w:val="30"/>
        </w:rPr>
        <w:t>服务承诺书</w:t>
      </w:r>
    </w:p>
    <w:p w14:paraId="2B1C1B82">
      <w:pPr>
        <w:pStyle w:val="2"/>
        <w:tabs>
          <w:tab w:val="left" w:pos="432"/>
        </w:tabs>
        <w:spacing w:line="480" w:lineRule="exact"/>
        <w:rPr>
          <w:rFonts w:hint="eastAsia" w:ascii="宋体" w:hAnsi="宋体" w:eastAsia="宋体" w:cs="宋体"/>
          <w:bCs/>
          <w:sz w:val="24"/>
        </w:rPr>
      </w:pPr>
    </w:p>
    <w:p w14:paraId="42F401A8">
      <w:pPr>
        <w:pStyle w:val="2"/>
        <w:tabs>
          <w:tab w:val="left" w:pos="432"/>
        </w:tabs>
        <w:spacing w:line="480" w:lineRule="exact"/>
        <w:rPr>
          <w:rFonts w:ascii="宋体" w:hAnsi="宋体" w:eastAsia="宋体" w:cs="宋体"/>
          <w:bCs/>
          <w:sz w:val="28"/>
          <w:szCs w:val="28"/>
        </w:rPr>
      </w:pPr>
      <w:r>
        <w:rPr>
          <w:rFonts w:hint="eastAsia" w:ascii="宋体" w:hAnsi="宋体" w:eastAsia="宋体" w:cs="宋体"/>
          <w:bCs/>
          <w:sz w:val="28"/>
          <w:szCs w:val="28"/>
        </w:rPr>
        <w:t>质量保证、</w:t>
      </w:r>
      <w:r>
        <w:rPr>
          <w:rFonts w:hint="eastAsia" w:ascii="宋体" w:hAnsi="宋体" w:eastAsia="宋体" w:cs="宋体"/>
          <w:bCs/>
          <w:sz w:val="28"/>
          <w:szCs w:val="28"/>
          <w:lang w:val="en-US" w:eastAsia="zh-CN"/>
        </w:rPr>
        <w:t>售后</w:t>
      </w:r>
      <w:r>
        <w:rPr>
          <w:rFonts w:hint="eastAsia" w:ascii="宋体" w:hAnsi="宋体" w:eastAsia="宋体" w:cs="宋体"/>
          <w:bCs/>
          <w:sz w:val="28"/>
          <w:szCs w:val="28"/>
        </w:rPr>
        <w:t>服务承诺书</w:t>
      </w:r>
    </w:p>
    <w:p w14:paraId="28B6F904">
      <w:pPr>
        <w:spacing w:line="360" w:lineRule="auto"/>
        <w:rPr>
          <w:rFonts w:ascii="宋体" w:hAnsi="宋体" w:cs="宋体"/>
          <w:sz w:val="24"/>
        </w:rPr>
      </w:pPr>
    </w:p>
    <w:p w14:paraId="11679A2A">
      <w:pPr>
        <w:spacing w:line="360" w:lineRule="auto"/>
        <w:rPr>
          <w:rFonts w:ascii="宋体" w:hAnsi="宋体" w:cs="宋体"/>
          <w:sz w:val="24"/>
        </w:rPr>
      </w:pPr>
    </w:p>
    <w:p w14:paraId="5757CAAC">
      <w:pPr>
        <w:spacing w:line="360" w:lineRule="auto"/>
        <w:rPr>
          <w:rFonts w:ascii="宋体" w:hAnsi="宋体" w:cs="宋体"/>
          <w:sz w:val="24"/>
          <w:szCs w:val="24"/>
        </w:rPr>
      </w:pPr>
      <w:r>
        <w:rPr>
          <w:rFonts w:hint="eastAsia" w:ascii="宋体" w:hAnsi="宋体" w:cs="宋体"/>
          <w:sz w:val="24"/>
          <w:szCs w:val="24"/>
        </w:rPr>
        <w:t>质量保证如下：</w:t>
      </w:r>
    </w:p>
    <w:p w14:paraId="4C70B925">
      <w:pPr>
        <w:spacing w:line="360" w:lineRule="auto"/>
        <w:rPr>
          <w:rFonts w:ascii="宋体" w:hAnsi="宋体" w:cs="宋体"/>
          <w:sz w:val="24"/>
          <w:szCs w:val="24"/>
        </w:rPr>
      </w:pPr>
    </w:p>
    <w:p w14:paraId="43F3E898">
      <w:pPr>
        <w:spacing w:line="360" w:lineRule="auto"/>
        <w:ind w:firstLine="2160" w:firstLineChars="900"/>
        <w:rPr>
          <w:rFonts w:ascii="宋体" w:hAnsi="宋体" w:cs="宋体"/>
          <w:sz w:val="24"/>
          <w:szCs w:val="24"/>
        </w:rPr>
      </w:pPr>
    </w:p>
    <w:p w14:paraId="6C2423DB">
      <w:pPr>
        <w:spacing w:line="360" w:lineRule="auto"/>
        <w:ind w:firstLine="2160" w:firstLineChars="900"/>
        <w:rPr>
          <w:rFonts w:ascii="宋体" w:hAnsi="宋体" w:cs="宋体"/>
          <w:sz w:val="24"/>
          <w:szCs w:val="24"/>
        </w:rPr>
      </w:pPr>
    </w:p>
    <w:p w14:paraId="3165C2D2">
      <w:pPr>
        <w:spacing w:line="360" w:lineRule="auto"/>
        <w:ind w:firstLine="2160" w:firstLineChars="900"/>
        <w:rPr>
          <w:rFonts w:ascii="宋体" w:hAnsi="宋体" w:cs="宋体"/>
          <w:sz w:val="24"/>
          <w:szCs w:val="24"/>
        </w:rPr>
      </w:pPr>
    </w:p>
    <w:p w14:paraId="73BB3308">
      <w:pPr>
        <w:spacing w:line="360" w:lineRule="auto"/>
        <w:ind w:firstLine="2160" w:firstLineChars="900"/>
        <w:rPr>
          <w:rFonts w:ascii="宋体" w:hAnsi="宋体" w:cs="宋体"/>
          <w:sz w:val="24"/>
          <w:szCs w:val="24"/>
        </w:rPr>
      </w:pPr>
    </w:p>
    <w:p w14:paraId="25191B8F">
      <w:pPr>
        <w:spacing w:line="360" w:lineRule="auto"/>
        <w:ind w:firstLine="2160" w:firstLineChars="900"/>
        <w:rPr>
          <w:rFonts w:ascii="宋体" w:hAnsi="宋体" w:cs="宋体"/>
          <w:sz w:val="24"/>
          <w:szCs w:val="24"/>
        </w:rPr>
      </w:pPr>
    </w:p>
    <w:p w14:paraId="6B01A211">
      <w:pPr>
        <w:spacing w:line="360" w:lineRule="auto"/>
        <w:rPr>
          <w:rFonts w:ascii="宋体" w:hAnsi="宋体" w:cs="宋体"/>
          <w:sz w:val="24"/>
          <w:szCs w:val="24"/>
        </w:rPr>
      </w:pPr>
      <w:r>
        <w:rPr>
          <w:rFonts w:hint="eastAsia" w:ascii="宋体" w:hAnsi="宋体" w:cs="宋体"/>
          <w:sz w:val="24"/>
          <w:szCs w:val="24"/>
          <w:lang w:val="en-US" w:eastAsia="zh-CN"/>
        </w:rPr>
        <w:t>售后</w:t>
      </w:r>
      <w:r>
        <w:rPr>
          <w:rFonts w:hint="eastAsia" w:ascii="宋体" w:hAnsi="宋体" w:cs="宋体"/>
          <w:sz w:val="24"/>
          <w:szCs w:val="24"/>
        </w:rPr>
        <w:t>服务承诺如下：</w:t>
      </w:r>
    </w:p>
    <w:p w14:paraId="56FFA260">
      <w:pPr>
        <w:spacing w:line="360" w:lineRule="auto"/>
        <w:rPr>
          <w:rFonts w:ascii="宋体" w:hAnsi="宋体" w:cs="宋体"/>
          <w:sz w:val="21"/>
          <w:szCs w:val="21"/>
        </w:rPr>
      </w:pPr>
    </w:p>
    <w:p w14:paraId="59AED6F3">
      <w:pPr>
        <w:spacing w:line="360" w:lineRule="auto"/>
        <w:rPr>
          <w:rFonts w:ascii="宋体" w:hAnsi="宋体" w:cs="宋体"/>
          <w:sz w:val="21"/>
          <w:szCs w:val="21"/>
        </w:rPr>
      </w:pPr>
    </w:p>
    <w:p w14:paraId="7D38C443">
      <w:pPr>
        <w:spacing w:line="360" w:lineRule="auto"/>
        <w:rPr>
          <w:rFonts w:ascii="宋体" w:hAnsi="宋体" w:cs="宋体"/>
          <w:sz w:val="21"/>
          <w:szCs w:val="21"/>
        </w:rPr>
      </w:pPr>
    </w:p>
    <w:p w14:paraId="7F39FF72">
      <w:pPr>
        <w:spacing w:line="360" w:lineRule="auto"/>
        <w:rPr>
          <w:rFonts w:ascii="宋体" w:hAnsi="宋体" w:cs="宋体"/>
          <w:sz w:val="21"/>
          <w:szCs w:val="21"/>
        </w:rPr>
      </w:pPr>
    </w:p>
    <w:p w14:paraId="75B60CDA">
      <w:pPr>
        <w:spacing w:line="360" w:lineRule="auto"/>
        <w:rPr>
          <w:rFonts w:ascii="宋体" w:hAnsi="宋体" w:cs="宋体"/>
          <w:sz w:val="21"/>
          <w:szCs w:val="21"/>
        </w:rPr>
      </w:pPr>
    </w:p>
    <w:p w14:paraId="76F2AC2D">
      <w:pPr>
        <w:spacing w:line="360" w:lineRule="auto"/>
        <w:rPr>
          <w:rFonts w:ascii="宋体" w:hAnsi="宋体" w:cs="宋体"/>
          <w:sz w:val="21"/>
          <w:szCs w:val="21"/>
        </w:rPr>
      </w:pPr>
    </w:p>
    <w:p w14:paraId="6DFCFD44">
      <w:pPr>
        <w:pStyle w:val="5"/>
        <w:overflowPunct w:val="0"/>
        <w:spacing w:line="500" w:lineRule="exact"/>
        <w:rPr>
          <w:szCs w:val="21"/>
        </w:rPr>
      </w:pPr>
      <w:r>
        <w:rPr>
          <w:rFonts w:hint="eastAsia" w:hAnsi="宋体" w:cs="宋体"/>
          <w:sz w:val="21"/>
          <w:szCs w:val="21"/>
        </w:rPr>
        <w:t xml:space="preserve">                            </w:t>
      </w:r>
      <w:r>
        <w:rPr>
          <w:rFonts w:hint="eastAsia"/>
          <w:szCs w:val="21"/>
        </w:rPr>
        <w:t>供应商</w:t>
      </w:r>
      <w:r>
        <w:rPr>
          <w:szCs w:val="21"/>
        </w:rPr>
        <w:t>（盖章）：</w:t>
      </w:r>
    </w:p>
    <w:p w14:paraId="632A27A8">
      <w:pPr>
        <w:pStyle w:val="5"/>
        <w:overflowPunct w:val="0"/>
        <w:spacing w:line="500" w:lineRule="exact"/>
        <w:rPr>
          <w:rFonts w:hAnsi="宋体" w:cs="宋体"/>
          <w:sz w:val="24"/>
          <w:szCs w:val="24"/>
        </w:rPr>
      </w:pPr>
      <w:r>
        <w:rPr>
          <w:rFonts w:hint="eastAsia" w:hAnsi="宋体" w:cs="宋体"/>
          <w:sz w:val="21"/>
          <w:szCs w:val="21"/>
        </w:rPr>
        <w:t xml:space="preserve">                            </w:t>
      </w:r>
      <w:r>
        <w:rPr>
          <w:rFonts w:hint="eastAsia" w:hAnsi="宋体" w:cs="宋体"/>
          <w:sz w:val="24"/>
          <w:szCs w:val="24"/>
        </w:rPr>
        <w:t>法定代表人或委托代理人（签字或盖章）：</w:t>
      </w:r>
    </w:p>
    <w:p w14:paraId="433DC5F2">
      <w:pPr>
        <w:pStyle w:val="5"/>
        <w:overflowPunct w:val="0"/>
        <w:spacing w:line="500" w:lineRule="exact"/>
        <w:rPr>
          <w:rFonts w:hAnsi="宋体" w:cs="宋体"/>
          <w:sz w:val="24"/>
          <w:szCs w:val="24"/>
        </w:rPr>
      </w:pPr>
      <w:r>
        <w:rPr>
          <w:rFonts w:hint="eastAsia" w:hAnsi="宋体" w:cs="宋体"/>
          <w:sz w:val="24"/>
          <w:szCs w:val="24"/>
        </w:rPr>
        <w:t xml:space="preserve">                            日 期：</w:t>
      </w:r>
    </w:p>
    <w:p w14:paraId="3F86F7DB">
      <w:pPr>
        <w:spacing w:line="360" w:lineRule="auto"/>
        <w:ind w:firstLine="480" w:firstLineChars="200"/>
        <w:jc w:val="center"/>
        <w:rPr>
          <w:rFonts w:hint="eastAsia" w:ascii="宋体" w:hAnsi="宋体" w:cs="宋体"/>
          <w:sz w:val="24"/>
        </w:rPr>
      </w:pPr>
    </w:p>
    <w:p w14:paraId="7FAA596B">
      <w:pPr>
        <w:jc w:val="center"/>
        <w:rPr>
          <w:rFonts w:ascii="宋体" w:hAnsi="宋体" w:cs="宋体"/>
          <w:b/>
          <w:sz w:val="32"/>
          <w:szCs w:val="32"/>
        </w:rPr>
      </w:pPr>
    </w:p>
    <w:p w14:paraId="167BFD84">
      <w:pPr>
        <w:spacing w:line="440" w:lineRule="exact"/>
        <w:jc w:val="center"/>
        <w:rPr>
          <w:rFonts w:hint="eastAsia" w:ascii="宋体" w:hAnsi="宋体" w:cs="宋体"/>
          <w:b/>
          <w:bCs/>
          <w:color w:val="000000"/>
          <w:sz w:val="30"/>
          <w:szCs w:val="30"/>
        </w:rPr>
      </w:pPr>
    </w:p>
    <w:p w14:paraId="661AEAA1">
      <w:pPr>
        <w:spacing w:line="520" w:lineRule="exact"/>
        <w:ind w:firstLine="420" w:firstLineChars="200"/>
        <w:jc w:val="center"/>
        <w:rPr>
          <w:szCs w:val="21"/>
        </w:rPr>
      </w:pPr>
    </w:p>
    <w:p w14:paraId="73336C86">
      <w:pPr>
        <w:spacing w:line="520" w:lineRule="exact"/>
        <w:rPr>
          <w:szCs w:val="21"/>
        </w:rPr>
      </w:pPr>
    </w:p>
    <w:p w14:paraId="210DF9BA">
      <w:pPr>
        <w:pStyle w:val="5"/>
        <w:overflowPunct w:val="0"/>
        <w:spacing w:line="500" w:lineRule="exact"/>
        <w:ind w:firstLine="0"/>
        <w:rPr>
          <w:rFonts w:ascii="Times New Roman"/>
          <w:b/>
          <w:color w:val="000000"/>
          <w:sz w:val="32"/>
          <w:szCs w:val="32"/>
        </w:rPr>
      </w:pPr>
    </w:p>
    <w:p w14:paraId="0975195D">
      <w:pPr>
        <w:pStyle w:val="5"/>
        <w:overflowPunct w:val="0"/>
        <w:spacing w:line="500" w:lineRule="exact"/>
        <w:ind w:firstLine="0"/>
        <w:rPr>
          <w:rFonts w:ascii="Times New Roman"/>
          <w:b/>
          <w:color w:val="000000"/>
          <w:sz w:val="32"/>
          <w:szCs w:val="32"/>
        </w:rPr>
      </w:pPr>
    </w:p>
    <w:p w14:paraId="345A3E8B">
      <w:pPr>
        <w:pStyle w:val="5"/>
        <w:overflowPunct w:val="0"/>
        <w:spacing w:line="500" w:lineRule="exact"/>
        <w:ind w:firstLine="0"/>
        <w:rPr>
          <w:rFonts w:ascii="Times New Roman"/>
          <w:b/>
          <w:color w:val="000000"/>
          <w:sz w:val="32"/>
          <w:szCs w:val="32"/>
        </w:rPr>
      </w:pPr>
    </w:p>
    <w:p w14:paraId="4D422859"/>
    <w:p w14:paraId="3427BC1A">
      <w:pPr>
        <w:pStyle w:val="2"/>
        <w:rPr>
          <w:rFonts w:ascii="Times New Roman" w:eastAsia="宋体"/>
          <w:color w:val="000000"/>
        </w:rPr>
      </w:pPr>
      <w:bookmarkStart w:id="58" w:name="_Toc17534523"/>
      <w:r>
        <w:rPr>
          <w:rFonts w:ascii="Times New Roman" w:eastAsia="宋体"/>
          <w:b/>
          <w:bCs/>
          <w:color w:val="000000"/>
          <w:sz w:val="30"/>
          <w:szCs w:val="30"/>
        </w:rPr>
        <w:t>友 情 提 醒</w:t>
      </w:r>
      <w:bookmarkEnd w:id="58"/>
    </w:p>
    <w:p w14:paraId="03DD3A4F">
      <w:pPr>
        <w:spacing w:line="520" w:lineRule="exact"/>
        <w:rPr>
          <w:color w:val="000000"/>
          <w:sz w:val="24"/>
        </w:rPr>
      </w:pPr>
      <w:r>
        <w:rPr>
          <w:color w:val="000000"/>
          <w:sz w:val="24"/>
        </w:rPr>
        <w:t>各竞标单位：</w:t>
      </w:r>
    </w:p>
    <w:p w14:paraId="1942FAC4">
      <w:pPr>
        <w:spacing w:line="520" w:lineRule="exact"/>
        <w:ind w:firstLine="480" w:firstLineChars="200"/>
        <w:rPr>
          <w:color w:val="000000"/>
          <w:sz w:val="24"/>
        </w:rPr>
      </w:pPr>
      <w:r>
        <w:rPr>
          <w:color w:val="000000"/>
          <w:sz w:val="24"/>
        </w:rPr>
        <w:t>您好！</w:t>
      </w:r>
    </w:p>
    <w:p w14:paraId="55659348">
      <w:pPr>
        <w:spacing w:line="520" w:lineRule="exact"/>
        <w:ind w:firstLine="480" w:firstLineChars="200"/>
        <w:rPr>
          <w:color w:val="000000"/>
          <w:sz w:val="24"/>
        </w:rPr>
      </w:pPr>
      <w:r>
        <w:rPr>
          <w:color w:val="000000"/>
          <w:sz w:val="24"/>
        </w:rPr>
        <w:t>为了提高贵单位的响应文件的有效性，减少不必要的无效投标，特友情提醒注意以下几点：</w:t>
      </w:r>
    </w:p>
    <w:p w14:paraId="44FABB69">
      <w:pPr>
        <w:spacing w:line="520" w:lineRule="exact"/>
        <w:ind w:firstLine="480" w:firstLineChars="200"/>
        <w:rPr>
          <w:color w:val="000000"/>
          <w:sz w:val="24"/>
        </w:rPr>
      </w:pPr>
      <w:r>
        <w:rPr>
          <w:color w:val="000000"/>
          <w:sz w:val="24"/>
        </w:rPr>
        <w:t>1.请谨记招标文件上表述的</w:t>
      </w:r>
      <w:r>
        <w:rPr>
          <w:b/>
          <w:color w:val="000000"/>
          <w:sz w:val="24"/>
        </w:rPr>
        <w:t>各项事宜时间节点</w:t>
      </w:r>
      <w:r>
        <w:rPr>
          <w:color w:val="000000"/>
          <w:sz w:val="24"/>
        </w:rPr>
        <w:t>，特别是</w:t>
      </w:r>
      <w:r>
        <w:rPr>
          <w:b/>
          <w:color w:val="000000"/>
          <w:sz w:val="24"/>
        </w:rPr>
        <w:t>开标时间和地点</w:t>
      </w:r>
      <w:r>
        <w:rPr>
          <w:color w:val="000000"/>
          <w:sz w:val="24"/>
        </w:rPr>
        <w:t>，迟到的将一律不能进入开标室</w:t>
      </w:r>
    </w:p>
    <w:p w14:paraId="48A29616">
      <w:pPr>
        <w:spacing w:line="520" w:lineRule="exact"/>
        <w:ind w:firstLine="480" w:firstLineChars="200"/>
        <w:rPr>
          <w:color w:val="000000"/>
          <w:sz w:val="24"/>
        </w:rPr>
      </w:pPr>
      <w:r>
        <w:rPr>
          <w:color w:val="000000"/>
          <w:sz w:val="24"/>
        </w:rPr>
        <w:t>2.投标保证金一定要从</w:t>
      </w:r>
      <w:r>
        <w:rPr>
          <w:b/>
          <w:color w:val="000000"/>
          <w:sz w:val="24"/>
        </w:rPr>
        <w:t>竞标单位账户</w:t>
      </w:r>
      <w:r>
        <w:rPr>
          <w:color w:val="000000"/>
          <w:sz w:val="24"/>
        </w:rPr>
        <w:t>按招标文件规定的</w:t>
      </w:r>
      <w:r>
        <w:rPr>
          <w:b/>
          <w:color w:val="000000"/>
          <w:sz w:val="24"/>
        </w:rPr>
        <w:t>方式和时间</w:t>
      </w:r>
      <w:r>
        <w:rPr>
          <w:color w:val="000000"/>
          <w:sz w:val="24"/>
        </w:rPr>
        <w:t>缴至</w:t>
      </w:r>
      <w:r>
        <w:rPr>
          <w:b/>
          <w:color w:val="000000"/>
          <w:sz w:val="24"/>
        </w:rPr>
        <w:t>指定账户并到账</w:t>
      </w:r>
      <w:r>
        <w:rPr>
          <w:color w:val="000000"/>
          <w:sz w:val="24"/>
        </w:rPr>
        <w:t>，拒绝以其它方式缴纳，禁止第三方代缴保证金。</w:t>
      </w:r>
    </w:p>
    <w:p w14:paraId="3F533A8E">
      <w:pPr>
        <w:spacing w:line="520" w:lineRule="exact"/>
        <w:ind w:firstLine="480" w:firstLineChars="200"/>
        <w:rPr>
          <w:color w:val="000000"/>
          <w:sz w:val="24"/>
        </w:rPr>
      </w:pPr>
      <w:r>
        <w:rPr>
          <w:color w:val="000000"/>
          <w:sz w:val="24"/>
        </w:rPr>
        <w:t>3.响应文件</w:t>
      </w:r>
      <w:r>
        <w:rPr>
          <w:b/>
          <w:color w:val="000000"/>
          <w:sz w:val="24"/>
        </w:rPr>
        <w:t>应按要求密封，U盘单独密封，</w:t>
      </w:r>
      <w:r>
        <w:rPr>
          <w:color w:val="000000"/>
          <w:sz w:val="24"/>
        </w:rPr>
        <w:t>并在封袋上加盖</w:t>
      </w:r>
      <w:r>
        <w:rPr>
          <w:b/>
          <w:color w:val="000000"/>
          <w:sz w:val="24"/>
        </w:rPr>
        <w:t>竞标单位公章</w:t>
      </w:r>
      <w:r>
        <w:rPr>
          <w:color w:val="000000"/>
          <w:sz w:val="24"/>
        </w:rPr>
        <w:t>。</w:t>
      </w:r>
    </w:p>
    <w:p w14:paraId="40EB2A1C">
      <w:pPr>
        <w:spacing w:line="520" w:lineRule="exact"/>
        <w:ind w:firstLine="480" w:firstLineChars="200"/>
        <w:rPr>
          <w:color w:val="000000"/>
          <w:sz w:val="24"/>
        </w:rPr>
      </w:pPr>
      <w:r>
        <w:rPr>
          <w:color w:val="000000"/>
          <w:sz w:val="24"/>
        </w:rPr>
        <w:t>4.响应文件中的证明文件及资料需提供复印件并加盖</w:t>
      </w:r>
      <w:r>
        <w:rPr>
          <w:b/>
          <w:color w:val="000000"/>
          <w:sz w:val="24"/>
        </w:rPr>
        <w:t>公章</w:t>
      </w:r>
      <w:r>
        <w:rPr>
          <w:color w:val="000000"/>
          <w:sz w:val="24"/>
        </w:rPr>
        <w:t>，有要求提供原件或公证件的必须将原件或公证件携带至开标现场备查或核查。</w:t>
      </w:r>
    </w:p>
    <w:p w14:paraId="38D6798D">
      <w:pPr>
        <w:spacing w:line="520" w:lineRule="exact"/>
        <w:ind w:firstLine="480" w:firstLineChars="200"/>
        <w:rPr>
          <w:color w:val="000000"/>
          <w:sz w:val="24"/>
        </w:rPr>
      </w:pPr>
      <w:r>
        <w:rPr>
          <w:color w:val="000000"/>
          <w:sz w:val="24"/>
        </w:rPr>
        <w:t>5.需要提供样品的，请严格按招标文件要求提供，同时注意</w:t>
      </w:r>
      <w:r>
        <w:rPr>
          <w:b/>
          <w:color w:val="000000"/>
          <w:sz w:val="24"/>
        </w:rPr>
        <w:t>密封、隐蔽</w:t>
      </w:r>
      <w:r>
        <w:rPr>
          <w:color w:val="000000"/>
          <w:sz w:val="24"/>
        </w:rPr>
        <w:t>标签的相关要求。</w:t>
      </w:r>
    </w:p>
    <w:p w14:paraId="76EF691F">
      <w:pPr>
        <w:spacing w:line="520" w:lineRule="exact"/>
        <w:ind w:firstLine="480" w:firstLineChars="200"/>
        <w:rPr>
          <w:color w:val="000000"/>
          <w:sz w:val="24"/>
        </w:rPr>
      </w:pPr>
      <w:r>
        <w:rPr>
          <w:color w:val="000000"/>
          <w:sz w:val="24"/>
        </w:rPr>
        <w:t>6.因招标文件文字表述有限，鼓励您</w:t>
      </w:r>
      <w:r>
        <w:rPr>
          <w:b/>
          <w:color w:val="000000"/>
          <w:sz w:val="24"/>
        </w:rPr>
        <w:t>现场踏勘</w:t>
      </w:r>
      <w:r>
        <w:rPr>
          <w:color w:val="000000"/>
          <w:sz w:val="24"/>
        </w:rPr>
        <w:t>，可以在投标前充分了解现场环境、项目进度和质量要求等信息，为贵单位有针对性的制作响应文件积累充分的原始资料。</w:t>
      </w:r>
    </w:p>
    <w:p w14:paraId="782A59AA">
      <w:pPr>
        <w:spacing w:line="520" w:lineRule="exact"/>
        <w:ind w:firstLine="480" w:firstLineChars="200"/>
        <w:rPr>
          <w:color w:val="000000"/>
          <w:sz w:val="24"/>
        </w:rPr>
      </w:pPr>
      <w:r>
        <w:rPr>
          <w:color w:val="000000"/>
          <w:sz w:val="24"/>
        </w:rPr>
        <w:t>7.设定</w:t>
      </w:r>
      <w:r>
        <w:rPr>
          <w:b/>
          <w:color w:val="000000"/>
          <w:sz w:val="24"/>
        </w:rPr>
        <w:t>最高限价</w:t>
      </w:r>
      <w:r>
        <w:rPr>
          <w:color w:val="000000"/>
          <w:sz w:val="24"/>
        </w:rPr>
        <w:t>的，超过限价一律废标。</w:t>
      </w:r>
    </w:p>
    <w:p w14:paraId="400ECA46">
      <w:pPr>
        <w:spacing w:line="520" w:lineRule="exact"/>
        <w:ind w:firstLine="480" w:firstLineChars="200"/>
        <w:rPr>
          <w:color w:val="000000"/>
          <w:sz w:val="24"/>
        </w:rPr>
      </w:pPr>
      <w:r>
        <w:rPr>
          <w:color w:val="000000"/>
          <w:sz w:val="24"/>
        </w:rPr>
        <w:t>8.请精心仔细</w:t>
      </w:r>
      <w:r>
        <w:rPr>
          <w:b/>
          <w:color w:val="000000"/>
          <w:sz w:val="24"/>
        </w:rPr>
        <w:t>审阅招标文件,特别是加粗部分的文字</w:t>
      </w:r>
      <w:r>
        <w:rPr>
          <w:color w:val="000000"/>
          <w:sz w:val="24"/>
        </w:rPr>
        <w:t>。如有疑问，请按招标文件要求进行询疑。</w:t>
      </w:r>
    </w:p>
    <w:p w14:paraId="7322089F">
      <w:pPr>
        <w:spacing w:line="520" w:lineRule="exact"/>
        <w:ind w:firstLine="480" w:firstLineChars="200"/>
        <w:rPr>
          <w:color w:val="000000"/>
          <w:sz w:val="24"/>
        </w:rPr>
      </w:pPr>
    </w:p>
    <w:p w14:paraId="0D1D2FAB">
      <w:pPr>
        <w:spacing w:line="520" w:lineRule="exact"/>
        <w:ind w:firstLine="480" w:firstLineChars="200"/>
        <w:rPr>
          <w:color w:val="000000"/>
          <w:sz w:val="24"/>
        </w:rPr>
      </w:pPr>
      <w:r>
        <w:rPr>
          <w:color w:val="000000"/>
          <w:sz w:val="24"/>
        </w:rPr>
        <w:t>我单位十分欢迎贵单位对招标采购组织工作提出宝贵意见和建议。电话：0519-83999568</w:t>
      </w:r>
    </w:p>
    <w:p w14:paraId="3E06497A">
      <w:pPr>
        <w:spacing w:line="520" w:lineRule="exact"/>
        <w:ind w:firstLine="480" w:firstLineChars="200"/>
        <w:rPr>
          <w:color w:val="000000"/>
          <w:sz w:val="24"/>
        </w:rPr>
      </w:pPr>
      <w:r>
        <w:rPr>
          <w:color w:val="000000"/>
          <w:sz w:val="24"/>
        </w:rPr>
        <w:t>最后祝贵单位投标成功！</w:t>
      </w:r>
    </w:p>
    <w:p w14:paraId="4F44D656">
      <w:pPr>
        <w:spacing w:line="520" w:lineRule="exact"/>
        <w:rPr>
          <w:color w:val="000000"/>
          <w:sz w:val="24"/>
        </w:rPr>
      </w:pPr>
    </w:p>
    <w:p w14:paraId="40BF9B2B">
      <w:pPr>
        <w:spacing w:line="520" w:lineRule="exact"/>
        <w:jc w:val="center"/>
        <w:rPr>
          <w:bCs/>
          <w:color w:val="000000"/>
          <w:sz w:val="24"/>
        </w:rPr>
      </w:pPr>
      <w:r>
        <w:rPr>
          <w:bCs/>
          <w:color w:val="000000"/>
          <w:sz w:val="24"/>
        </w:rPr>
        <w:t>本招标文件的最终解释权归</w:t>
      </w:r>
      <w:r>
        <w:rPr>
          <w:rFonts w:hint="eastAsia"/>
          <w:bCs/>
          <w:color w:val="000000"/>
          <w:sz w:val="24"/>
        </w:rPr>
        <w:t>江苏恒卓工程管理咨询有限公司</w:t>
      </w:r>
      <w:r>
        <w:rPr>
          <w:bCs/>
          <w:color w:val="000000"/>
          <w:sz w:val="24"/>
        </w:rPr>
        <w:t>所有。</w:t>
      </w:r>
    </w:p>
    <w:p w14:paraId="5F3EFA62">
      <w:pPr>
        <w:jc w:val="center"/>
      </w:pPr>
      <w:r>
        <w:rPr>
          <w:b/>
          <w:color w:val="000000"/>
          <w:sz w:val="32"/>
        </w:rPr>
        <w:t>（全文完）</w:t>
      </w:r>
    </w:p>
    <w:p w14:paraId="179C219A"/>
    <w:sectPr>
      <w:pgSz w:w="11906" w:h="16838"/>
      <w:pgMar w:top="1440" w:right="1440" w:bottom="1440" w:left="1440" w:header="851" w:footer="992" w:gutter="0"/>
      <w:cols w:space="0" w:num="1"/>
      <w:rtlGutter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6BDC80-F10E-44C0-BF88-AF5B40CE2C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B0CAD34F-0AEF-45D7-995C-DA1E8928A7C3}"/>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auto"/>
    <w:pitch w:val="default"/>
    <w:sig w:usb0="A00002BF" w:usb1="38CF7CFA" w:usb2="00082016" w:usb3="00000000" w:csb0="00040001" w:csb1="00000000"/>
    <w:embedRegular r:id="rId3" w:fontKey="{44A40E01-CD74-42C3-AF0D-8F1622F5B41B}"/>
  </w:font>
  <w:font w:name="Wingdings 2">
    <w:panose1 w:val="05020102010507070707"/>
    <w:charset w:val="02"/>
    <w:family w:val="roman"/>
    <w:pitch w:val="default"/>
    <w:sig w:usb0="00000000" w:usb1="00000000" w:usb2="00000000" w:usb3="00000000" w:csb0="80000000" w:csb1="00000000"/>
    <w:embedRegular r:id="rId4" w:fontKey="{ACEAB8BF-AE80-4390-8B2C-03ACCC972C30}"/>
  </w:font>
  <w:font w:name="WPSEMBED1">
    <w:panose1 w:val="02000000000000000000"/>
    <w:charset w:val="86"/>
    <w:family w:val="auto"/>
    <w:pitch w:val="default"/>
    <w:sig w:usb0="A00002BF" w:usb1="38CF7CFA" w:usb2="00082016" w:usb3="00000000" w:csb0="00040001" w:csb1="00000000"/>
  </w:font>
  <w:font w:name="WPSEMBED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34624">
    <w:pPr>
      <w:pStyle w:val="15"/>
      <w:tabs>
        <w:tab w:val="right" w:pos="8307"/>
        <w:tab w:val="clear" w:pos="8306"/>
      </w:tabs>
      <w:ind w:right="360" w:firstLine="360"/>
      <w:rPr>
        <w:rFonts w:ascii="仿宋_GB2312" w:hAnsi="宋体" w:eastAsia="仿宋_GB2312"/>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6AE7E8">
                          <w:pPr>
                            <w:pStyle w:val="15"/>
                            <w:tabs>
                              <w:tab w:val="right" w:pos="8307"/>
                              <w:tab w:val="clear" w:pos="8306"/>
                            </w:tabs>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26</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26AE7E8">
                    <w:pPr>
                      <w:pStyle w:val="15"/>
                      <w:tabs>
                        <w:tab w:val="right" w:pos="8307"/>
                        <w:tab w:val="clear" w:pos="8306"/>
                      </w:tabs>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26</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C6B83">
    <w:pPr>
      <w:pStyle w:val="17"/>
      <w:jc w:val="right"/>
      <w:rPr>
        <w:sz w:val="20"/>
        <w:szCs w:val="20"/>
      </w:rPr>
    </w:pPr>
    <w:r>
      <w:rPr>
        <w:rFonts w:hint="eastAsia" w:ascii="宋体"/>
        <w:sz w:val="20"/>
        <w:szCs w:val="20"/>
      </w:rPr>
      <w:t>江苏恒卓工程管理咨询有限公司询价采购文件</w:t>
    </w:r>
  </w:p>
  <w:p w14:paraId="7BF95790">
    <w:pPr>
      <w:pStyle w:val="17"/>
      <w:pBdr>
        <w:bottom w:val="none" w:color="auto" w:sz="0" w:space="0"/>
      </w:pBdr>
    </w:pPr>
    <w: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5274310" cy="1836420"/>
          <wp:effectExtent l="0" t="0" r="13970" b="7620"/>
          <wp:wrapNone/>
          <wp:docPr id="151" name="WordPictureWatermark23768" descr="ea2575d9d47bbff831b2cc4d5fb24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WordPictureWatermark23768" descr="ea2575d9d47bbff831b2cc4d5fb24ec"/>
                  <pic:cNvPicPr>
                    <a:picLocks noChangeAspect="1"/>
                  </pic:cNvPicPr>
                </pic:nvPicPr>
                <pic:blipFill>
                  <a:blip r:embed="rId1">
                    <a:lum bright="69998" contrast="-70001"/>
                  </a:blip>
                  <a:stretch>
                    <a:fillRect/>
                  </a:stretch>
                </pic:blipFill>
                <pic:spPr>
                  <a:xfrm>
                    <a:off x="0" y="0"/>
                    <a:ext cx="5274310" cy="18364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CEF3CD"/>
    <w:multiLevelType w:val="singleLevel"/>
    <w:tmpl w:val="59CEF3CD"/>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105"/>
  <w:drawingGridVerticalSpacing w:val="16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yNzMwZjFhZjc0Mzg1YWNiYzA0MzlmMDBjYTA1YjgifQ=="/>
  </w:docVars>
  <w:rsids>
    <w:rsidRoot w:val="009E4CA0"/>
    <w:rsid w:val="0000015E"/>
    <w:rsid w:val="000046E6"/>
    <w:rsid w:val="000051D1"/>
    <w:rsid w:val="0000605A"/>
    <w:rsid w:val="00007E12"/>
    <w:rsid w:val="000170C0"/>
    <w:rsid w:val="00017AF7"/>
    <w:rsid w:val="00020B95"/>
    <w:rsid w:val="000213CA"/>
    <w:rsid w:val="00022CA1"/>
    <w:rsid w:val="00026845"/>
    <w:rsid w:val="000309B0"/>
    <w:rsid w:val="00032807"/>
    <w:rsid w:val="00032BB1"/>
    <w:rsid w:val="000359EF"/>
    <w:rsid w:val="00042741"/>
    <w:rsid w:val="00043102"/>
    <w:rsid w:val="0004655B"/>
    <w:rsid w:val="000475C6"/>
    <w:rsid w:val="00050D48"/>
    <w:rsid w:val="00052D24"/>
    <w:rsid w:val="000563B5"/>
    <w:rsid w:val="00056C3E"/>
    <w:rsid w:val="0006706D"/>
    <w:rsid w:val="00070B43"/>
    <w:rsid w:val="000748E1"/>
    <w:rsid w:val="0007772F"/>
    <w:rsid w:val="00077D25"/>
    <w:rsid w:val="0008351C"/>
    <w:rsid w:val="000838AA"/>
    <w:rsid w:val="00084882"/>
    <w:rsid w:val="00094F31"/>
    <w:rsid w:val="000A3D42"/>
    <w:rsid w:val="000A65FB"/>
    <w:rsid w:val="000A7C8B"/>
    <w:rsid w:val="000A7F41"/>
    <w:rsid w:val="000B05D9"/>
    <w:rsid w:val="000B4FF8"/>
    <w:rsid w:val="000C0E16"/>
    <w:rsid w:val="000D16D2"/>
    <w:rsid w:val="000D2FD8"/>
    <w:rsid w:val="000E04BC"/>
    <w:rsid w:val="000E1E41"/>
    <w:rsid w:val="000E5586"/>
    <w:rsid w:val="000E6024"/>
    <w:rsid w:val="000E6B27"/>
    <w:rsid w:val="000E7FA0"/>
    <w:rsid w:val="00100B7F"/>
    <w:rsid w:val="00101C3E"/>
    <w:rsid w:val="00103414"/>
    <w:rsid w:val="00106E02"/>
    <w:rsid w:val="0011226F"/>
    <w:rsid w:val="00116E2B"/>
    <w:rsid w:val="001241FB"/>
    <w:rsid w:val="001256B4"/>
    <w:rsid w:val="00126A7B"/>
    <w:rsid w:val="00131492"/>
    <w:rsid w:val="001334A5"/>
    <w:rsid w:val="00134CA9"/>
    <w:rsid w:val="00142359"/>
    <w:rsid w:val="00142E73"/>
    <w:rsid w:val="0014692A"/>
    <w:rsid w:val="00154D4C"/>
    <w:rsid w:val="00154FCE"/>
    <w:rsid w:val="00155458"/>
    <w:rsid w:val="001566BA"/>
    <w:rsid w:val="00156D57"/>
    <w:rsid w:val="0015744E"/>
    <w:rsid w:val="00165207"/>
    <w:rsid w:val="00165F03"/>
    <w:rsid w:val="00171716"/>
    <w:rsid w:val="0017228A"/>
    <w:rsid w:val="00172378"/>
    <w:rsid w:val="00173274"/>
    <w:rsid w:val="00173B8F"/>
    <w:rsid w:val="001829B6"/>
    <w:rsid w:val="00182ADF"/>
    <w:rsid w:val="001963E4"/>
    <w:rsid w:val="00196A6A"/>
    <w:rsid w:val="00196D0A"/>
    <w:rsid w:val="00197439"/>
    <w:rsid w:val="001A0B12"/>
    <w:rsid w:val="001A7824"/>
    <w:rsid w:val="001B0088"/>
    <w:rsid w:val="001B03A6"/>
    <w:rsid w:val="001B29D8"/>
    <w:rsid w:val="001B77E7"/>
    <w:rsid w:val="001D604A"/>
    <w:rsid w:val="001E1B5B"/>
    <w:rsid w:val="001E1F59"/>
    <w:rsid w:val="001E7770"/>
    <w:rsid w:val="001E7889"/>
    <w:rsid w:val="001F057B"/>
    <w:rsid w:val="001F14D8"/>
    <w:rsid w:val="001F2D25"/>
    <w:rsid w:val="001F4A45"/>
    <w:rsid w:val="001F4BDB"/>
    <w:rsid w:val="001F4CC4"/>
    <w:rsid w:val="00201EF5"/>
    <w:rsid w:val="002030A5"/>
    <w:rsid w:val="00205A38"/>
    <w:rsid w:val="00206245"/>
    <w:rsid w:val="002116FB"/>
    <w:rsid w:val="00211C64"/>
    <w:rsid w:val="00211E28"/>
    <w:rsid w:val="00216BB0"/>
    <w:rsid w:val="00224154"/>
    <w:rsid w:val="0022467D"/>
    <w:rsid w:val="002270B0"/>
    <w:rsid w:val="00236564"/>
    <w:rsid w:val="0023776F"/>
    <w:rsid w:val="00242340"/>
    <w:rsid w:val="00242CC9"/>
    <w:rsid w:val="002504D1"/>
    <w:rsid w:val="002507D9"/>
    <w:rsid w:val="00251FF1"/>
    <w:rsid w:val="00254723"/>
    <w:rsid w:val="00260D05"/>
    <w:rsid w:val="00264F15"/>
    <w:rsid w:val="002650A3"/>
    <w:rsid w:val="00270A3C"/>
    <w:rsid w:val="00274F27"/>
    <w:rsid w:val="00275F46"/>
    <w:rsid w:val="002840BF"/>
    <w:rsid w:val="00286BC4"/>
    <w:rsid w:val="002916DA"/>
    <w:rsid w:val="00292837"/>
    <w:rsid w:val="00292F33"/>
    <w:rsid w:val="002A2F9B"/>
    <w:rsid w:val="002A6F3F"/>
    <w:rsid w:val="002B23E5"/>
    <w:rsid w:val="002B499B"/>
    <w:rsid w:val="002B7896"/>
    <w:rsid w:val="002C56AD"/>
    <w:rsid w:val="002C640F"/>
    <w:rsid w:val="002D3008"/>
    <w:rsid w:val="002D345E"/>
    <w:rsid w:val="002D40EF"/>
    <w:rsid w:val="002D58EB"/>
    <w:rsid w:val="002E386B"/>
    <w:rsid w:val="002F0019"/>
    <w:rsid w:val="002F4169"/>
    <w:rsid w:val="0030480B"/>
    <w:rsid w:val="00304D94"/>
    <w:rsid w:val="00310F48"/>
    <w:rsid w:val="00311057"/>
    <w:rsid w:val="00312A10"/>
    <w:rsid w:val="00314A9E"/>
    <w:rsid w:val="00315AA9"/>
    <w:rsid w:val="00316541"/>
    <w:rsid w:val="00316E95"/>
    <w:rsid w:val="0032069A"/>
    <w:rsid w:val="00320A85"/>
    <w:rsid w:val="00325B06"/>
    <w:rsid w:val="0032627B"/>
    <w:rsid w:val="003301AB"/>
    <w:rsid w:val="00330306"/>
    <w:rsid w:val="00334FA4"/>
    <w:rsid w:val="00335101"/>
    <w:rsid w:val="00335103"/>
    <w:rsid w:val="00335455"/>
    <w:rsid w:val="003361A1"/>
    <w:rsid w:val="0033639B"/>
    <w:rsid w:val="00343A0D"/>
    <w:rsid w:val="0034612A"/>
    <w:rsid w:val="003504B0"/>
    <w:rsid w:val="00351117"/>
    <w:rsid w:val="00354479"/>
    <w:rsid w:val="003545CE"/>
    <w:rsid w:val="003564DB"/>
    <w:rsid w:val="0036250E"/>
    <w:rsid w:val="00363458"/>
    <w:rsid w:val="00365BFB"/>
    <w:rsid w:val="00365D12"/>
    <w:rsid w:val="00366DF7"/>
    <w:rsid w:val="003716E6"/>
    <w:rsid w:val="00372460"/>
    <w:rsid w:val="00383B53"/>
    <w:rsid w:val="003861E4"/>
    <w:rsid w:val="00387993"/>
    <w:rsid w:val="00391B9E"/>
    <w:rsid w:val="003A38E1"/>
    <w:rsid w:val="003A3DBB"/>
    <w:rsid w:val="003A6913"/>
    <w:rsid w:val="003B0209"/>
    <w:rsid w:val="003B18C4"/>
    <w:rsid w:val="003C066C"/>
    <w:rsid w:val="003C0800"/>
    <w:rsid w:val="003C26A8"/>
    <w:rsid w:val="003D0BB1"/>
    <w:rsid w:val="003D0E82"/>
    <w:rsid w:val="003D5B8B"/>
    <w:rsid w:val="003E6816"/>
    <w:rsid w:val="003E6DDD"/>
    <w:rsid w:val="003E6E59"/>
    <w:rsid w:val="003E7FAA"/>
    <w:rsid w:val="003F188B"/>
    <w:rsid w:val="003F3345"/>
    <w:rsid w:val="004015D1"/>
    <w:rsid w:val="00404D95"/>
    <w:rsid w:val="0041352F"/>
    <w:rsid w:val="0041397E"/>
    <w:rsid w:val="00416AC4"/>
    <w:rsid w:val="004172C8"/>
    <w:rsid w:val="0041774D"/>
    <w:rsid w:val="00420279"/>
    <w:rsid w:val="0042114B"/>
    <w:rsid w:val="004259FB"/>
    <w:rsid w:val="00426970"/>
    <w:rsid w:val="00427919"/>
    <w:rsid w:val="00431CCC"/>
    <w:rsid w:val="00437903"/>
    <w:rsid w:val="00443F32"/>
    <w:rsid w:val="0044464C"/>
    <w:rsid w:val="00445ED0"/>
    <w:rsid w:val="00446C16"/>
    <w:rsid w:val="00447EBE"/>
    <w:rsid w:val="0045084C"/>
    <w:rsid w:val="00451775"/>
    <w:rsid w:val="00453970"/>
    <w:rsid w:val="004614E5"/>
    <w:rsid w:val="004634C2"/>
    <w:rsid w:val="0046400A"/>
    <w:rsid w:val="004647B1"/>
    <w:rsid w:val="004654F5"/>
    <w:rsid w:val="004668AE"/>
    <w:rsid w:val="0047053D"/>
    <w:rsid w:val="004709CE"/>
    <w:rsid w:val="00471D63"/>
    <w:rsid w:val="00476F3B"/>
    <w:rsid w:val="004807D4"/>
    <w:rsid w:val="00486421"/>
    <w:rsid w:val="004952C7"/>
    <w:rsid w:val="004A33B8"/>
    <w:rsid w:val="004A344E"/>
    <w:rsid w:val="004C0969"/>
    <w:rsid w:val="004C1F4F"/>
    <w:rsid w:val="004C4C2A"/>
    <w:rsid w:val="004C5D50"/>
    <w:rsid w:val="004C7B42"/>
    <w:rsid w:val="004D133A"/>
    <w:rsid w:val="004D249C"/>
    <w:rsid w:val="004D2873"/>
    <w:rsid w:val="004D444A"/>
    <w:rsid w:val="004E1761"/>
    <w:rsid w:val="004E1C54"/>
    <w:rsid w:val="004E55D5"/>
    <w:rsid w:val="004F2179"/>
    <w:rsid w:val="004F31E4"/>
    <w:rsid w:val="004F3483"/>
    <w:rsid w:val="004F355C"/>
    <w:rsid w:val="004F37D8"/>
    <w:rsid w:val="004F4C3D"/>
    <w:rsid w:val="004F681B"/>
    <w:rsid w:val="00501434"/>
    <w:rsid w:val="00504116"/>
    <w:rsid w:val="005077BD"/>
    <w:rsid w:val="005125AE"/>
    <w:rsid w:val="005207A4"/>
    <w:rsid w:val="005209EE"/>
    <w:rsid w:val="00522275"/>
    <w:rsid w:val="005231B7"/>
    <w:rsid w:val="005242F3"/>
    <w:rsid w:val="00525902"/>
    <w:rsid w:val="005377AE"/>
    <w:rsid w:val="00552192"/>
    <w:rsid w:val="00552300"/>
    <w:rsid w:val="00552FF5"/>
    <w:rsid w:val="00555C41"/>
    <w:rsid w:val="00561BCA"/>
    <w:rsid w:val="00563650"/>
    <w:rsid w:val="0056447E"/>
    <w:rsid w:val="0056553D"/>
    <w:rsid w:val="005669F4"/>
    <w:rsid w:val="00572120"/>
    <w:rsid w:val="00573388"/>
    <w:rsid w:val="0058432C"/>
    <w:rsid w:val="00585655"/>
    <w:rsid w:val="00586BB4"/>
    <w:rsid w:val="00587669"/>
    <w:rsid w:val="00587684"/>
    <w:rsid w:val="00597981"/>
    <w:rsid w:val="00597E4A"/>
    <w:rsid w:val="005A0F8C"/>
    <w:rsid w:val="005A26FD"/>
    <w:rsid w:val="005A6762"/>
    <w:rsid w:val="005B391F"/>
    <w:rsid w:val="005B50C5"/>
    <w:rsid w:val="005C54B6"/>
    <w:rsid w:val="005C6853"/>
    <w:rsid w:val="005D1ADC"/>
    <w:rsid w:val="005D201C"/>
    <w:rsid w:val="005D31CD"/>
    <w:rsid w:val="005D6545"/>
    <w:rsid w:val="005E05A8"/>
    <w:rsid w:val="005E11D8"/>
    <w:rsid w:val="005E3544"/>
    <w:rsid w:val="005E3E37"/>
    <w:rsid w:val="005E3EE7"/>
    <w:rsid w:val="005F23F7"/>
    <w:rsid w:val="005F4F0C"/>
    <w:rsid w:val="0060702A"/>
    <w:rsid w:val="006079BA"/>
    <w:rsid w:val="0061042B"/>
    <w:rsid w:val="006129EE"/>
    <w:rsid w:val="00612B7C"/>
    <w:rsid w:val="00613B93"/>
    <w:rsid w:val="006156F0"/>
    <w:rsid w:val="006200DD"/>
    <w:rsid w:val="0062612A"/>
    <w:rsid w:val="0063386F"/>
    <w:rsid w:val="00633CF9"/>
    <w:rsid w:val="00634137"/>
    <w:rsid w:val="00636803"/>
    <w:rsid w:val="00640FE2"/>
    <w:rsid w:val="006434D0"/>
    <w:rsid w:val="00646629"/>
    <w:rsid w:val="00651776"/>
    <w:rsid w:val="00656A15"/>
    <w:rsid w:val="006632FB"/>
    <w:rsid w:val="006716E7"/>
    <w:rsid w:val="00671B9C"/>
    <w:rsid w:val="00674CBD"/>
    <w:rsid w:val="0067763B"/>
    <w:rsid w:val="006872DB"/>
    <w:rsid w:val="00692853"/>
    <w:rsid w:val="00692D46"/>
    <w:rsid w:val="00694BC9"/>
    <w:rsid w:val="00696823"/>
    <w:rsid w:val="006A31B2"/>
    <w:rsid w:val="006A64D3"/>
    <w:rsid w:val="006A6CF4"/>
    <w:rsid w:val="006B5AA1"/>
    <w:rsid w:val="006B716C"/>
    <w:rsid w:val="006B7DD1"/>
    <w:rsid w:val="006C5E6E"/>
    <w:rsid w:val="006C60DC"/>
    <w:rsid w:val="006C62B0"/>
    <w:rsid w:val="006C6F97"/>
    <w:rsid w:val="006D4864"/>
    <w:rsid w:val="006D60DD"/>
    <w:rsid w:val="006E5593"/>
    <w:rsid w:val="006F092D"/>
    <w:rsid w:val="007001F1"/>
    <w:rsid w:val="007064BB"/>
    <w:rsid w:val="00707445"/>
    <w:rsid w:val="00716CCF"/>
    <w:rsid w:val="00716D15"/>
    <w:rsid w:val="00717EB7"/>
    <w:rsid w:val="007241FC"/>
    <w:rsid w:val="007269ED"/>
    <w:rsid w:val="0073305C"/>
    <w:rsid w:val="007355B4"/>
    <w:rsid w:val="0074007D"/>
    <w:rsid w:val="0074343B"/>
    <w:rsid w:val="00747BCD"/>
    <w:rsid w:val="007540FF"/>
    <w:rsid w:val="00773EBC"/>
    <w:rsid w:val="00776CEA"/>
    <w:rsid w:val="007873D8"/>
    <w:rsid w:val="00791675"/>
    <w:rsid w:val="00791EE4"/>
    <w:rsid w:val="007A1A96"/>
    <w:rsid w:val="007A44AB"/>
    <w:rsid w:val="007B0DC9"/>
    <w:rsid w:val="007B180A"/>
    <w:rsid w:val="007B2D91"/>
    <w:rsid w:val="007B2DF0"/>
    <w:rsid w:val="007B51FC"/>
    <w:rsid w:val="007B7858"/>
    <w:rsid w:val="007C4716"/>
    <w:rsid w:val="007C6524"/>
    <w:rsid w:val="007C6FEB"/>
    <w:rsid w:val="007C712E"/>
    <w:rsid w:val="007D1929"/>
    <w:rsid w:val="007F6E60"/>
    <w:rsid w:val="00800CE4"/>
    <w:rsid w:val="008042F6"/>
    <w:rsid w:val="00807C19"/>
    <w:rsid w:val="0082228A"/>
    <w:rsid w:val="008233F1"/>
    <w:rsid w:val="00824522"/>
    <w:rsid w:val="00827803"/>
    <w:rsid w:val="00833023"/>
    <w:rsid w:val="008347E4"/>
    <w:rsid w:val="008349F6"/>
    <w:rsid w:val="00844EA4"/>
    <w:rsid w:val="008467AD"/>
    <w:rsid w:val="00854272"/>
    <w:rsid w:val="0086091C"/>
    <w:rsid w:val="00862959"/>
    <w:rsid w:val="0086339E"/>
    <w:rsid w:val="0087181E"/>
    <w:rsid w:val="00871A16"/>
    <w:rsid w:val="00873893"/>
    <w:rsid w:val="00874B92"/>
    <w:rsid w:val="00881F0A"/>
    <w:rsid w:val="00883939"/>
    <w:rsid w:val="0089255B"/>
    <w:rsid w:val="0089291B"/>
    <w:rsid w:val="008A33EE"/>
    <w:rsid w:val="008A4F90"/>
    <w:rsid w:val="008D1142"/>
    <w:rsid w:val="008D1894"/>
    <w:rsid w:val="008D3618"/>
    <w:rsid w:val="008D529D"/>
    <w:rsid w:val="008D5BE4"/>
    <w:rsid w:val="008F0828"/>
    <w:rsid w:val="008F0ACE"/>
    <w:rsid w:val="008F22DD"/>
    <w:rsid w:val="008F28D0"/>
    <w:rsid w:val="008F3439"/>
    <w:rsid w:val="008F5A64"/>
    <w:rsid w:val="008F5E5B"/>
    <w:rsid w:val="008F68D9"/>
    <w:rsid w:val="008F6D52"/>
    <w:rsid w:val="008F7F3A"/>
    <w:rsid w:val="00902A75"/>
    <w:rsid w:val="00903515"/>
    <w:rsid w:val="00905A88"/>
    <w:rsid w:val="0091150E"/>
    <w:rsid w:val="009204FA"/>
    <w:rsid w:val="009212F9"/>
    <w:rsid w:val="00923F3C"/>
    <w:rsid w:val="00924676"/>
    <w:rsid w:val="009249C9"/>
    <w:rsid w:val="0092696A"/>
    <w:rsid w:val="00926D0B"/>
    <w:rsid w:val="0093179D"/>
    <w:rsid w:val="009325FE"/>
    <w:rsid w:val="0093516D"/>
    <w:rsid w:val="00936EAB"/>
    <w:rsid w:val="0094065A"/>
    <w:rsid w:val="0094069B"/>
    <w:rsid w:val="00942724"/>
    <w:rsid w:val="00942CC2"/>
    <w:rsid w:val="0094601E"/>
    <w:rsid w:val="0095040D"/>
    <w:rsid w:val="00950F3E"/>
    <w:rsid w:val="00951630"/>
    <w:rsid w:val="00955471"/>
    <w:rsid w:val="00957A73"/>
    <w:rsid w:val="00957E33"/>
    <w:rsid w:val="00960111"/>
    <w:rsid w:val="00960BBA"/>
    <w:rsid w:val="0096173D"/>
    <w:rsid w:val="009617D3"/>
    <w:rsid w:val="0096610D"/>
    <w:rsid w:val="00967155"/>
    <w:rsid w:val="00970DB9"/>
    <w:rsid w:val="00971D10"/>
    <w:rsid w:val="0097469D"/>
    <w:rsid w:val="00974A3A"/>
    <w:rsid w:val="00974FEB"/>
    <w:rsid w:val="00985EC1"/>
    <w:rsid w:val="00990F42"/>
    <w:rsid w:val="009A66EE"/>
    <w:rsid w:val="009D238E"/>
    <w:rsid w:val="009D2B44"/>
    <w:rsid w:val="009D3A6F"/>
    <w:rsid w:val="009D5D06"/>
    <w:rsid w:val="009E3567"/>
    <w:rsid w:val="009E4204"/>
    <w:rsid w:val="009E4CA0"/>
    <w:rsid w:val="009E63C8"/>
    <w:rsid w:val="009E771B"/>
    <w:rsid w:val="009E7DD1"/>
    <w:rsid w:val="009F4AF9"/>
    <w:rsid w:val="009F6B45"/>
    <w:rsid w:val="00A13361"/>
    <w:rsid w:val="00A166A8"/>
    <w:rsid w:val="00A21791"/>
    <w:rsid w:val="00A22EFE"/>
    <w:rsid w:val="00A2776D"/>
    <w:rsid w:val="00A301C8"/>
    <w:rsid w:val="00A3036B"/>
    <w:rsid w:val="00A30B2C"/>
    <w:rsid w:val="00A328BF"/>
    <w:rsid w:val="00A332BA"/>
    <w:rsid w:val="00A35429"/>
    <w:rsid w:val="00A44308"/>
    <w:rsid w:val="00A46197"/>
    <w:rsid w:val="00A520CF"/>
    <w:rsid w:val="00A52877"/>
    <w:rsid w:val="00A559BD"/>
    <w:rsid w:val="00A716E9"/>
    <w:rsid w:val="00A72037"/>
    <w:rsid w:val="00A729A1"/>
    <w:rsid w:val="00A80C95"/>
    <w:rsid w:val="00A821EA"/>
    <w:rsid w:val="00A82F3B"/>
    <w:rsid w:val="00A85E33"/>
    <w:rsid w:val="00A912EE"/>
    <w:rsid w:val="00A94046"/>
    <w:rsid w:val="00A96A9B"/>
    <w:rsid w:val="00AA080D"/>
    <w:rsid w:val="00AA2612"/>
    <w:rsid w:val="00AA3E2D"/>
    <w:rsid w:val="00AA5A93"/>
    <w:rsid w:val="00AA7A30"/>
    <w:rsid w:val="00AA7B82"/>
    <w:rsid w:val="00AB1A95"/>
    <w:rsid w:val="00AB36DA"/>
    <w:rsid w:val="00AB43C3"/>
    <w:rsid w:val="00AC0ED0"/>
    <w:rsid w:val="00AC3790"/>
    <w:rsid w:val="00AD511B"/>
    <w:rsid w:val="00AE0955"/>
    <w:rsid w:val="00AE3D2F"/>
    <w:rsid w:val="00AE4D35"/>
    <w:rsid w:val="00AE6F8B"/>
    <w:rsid w:val="00AE7EFD"/>
    <w:rsid w:val="00B007DB"/>
    <w:rsid w:val="00B0496A"/>
    <w:rsid w:val="00B05EAF"/>
    <w:rsid w:val="00B10258"/>
    <w:rsid w:val="00B12A02"/>
    <w:rsid w:val="00B150A6"/>
    <w:rsid w:val="00B20D5C"/>
    <w:rsid w:val="00B22DAB"/>
    <w:rsid w:val="00B22E72"/>
    <w:rsid w:val="00B25D71"/>
    <w:rsid w:val="00B26244"/>
    <w:rsid w:val="00B26D18"/>
    <w:rsid w:val="00B30885"/>
    <w:rsid w:val="00B34D1C"/>
    <w:rsid w:val="00B45D20"/>
    <w:rsid w:val="00B463AE"/>
    <w:rsid w:val="00B5215F"/>
    <w:rsid w:val="00B552C1"/>
    <w:rsid w:val="00B55307"/>
    <w:rsid w:val="00B55858"/>
    <w:rsid w:val="00B56CC7"/>
    <w:rsid w:val="00B574D0"/>
    <w:rsid w:val="00B576D6"/>
    <w:rsid w:val="00B60D53"/>
    <w:rsid w:val="00B63A88"/>
    <w:rsid w:val="00B704BA"/>
    <w:rsid w:val="00B70646"/>
    <w:rsid w:val="00B72728"/>
    <w:rsid w:val="00B84F72"/>
    <w:rsid w:val="00B90106"/>
    <w:rsid w:val="00B96CF6"/>
    <w:rsid w:val="00BA298B"/>
    <w:rsid w:val="00BA31D1"/>
    <w:rsid w:val="00BA3734"/>
    <w:rsid w:val="00BB23CB"/>
    <w:rsid w:val="00BB3D72"/>
    <w:rsid w:val="00BB4943"/>
    <w:rsid w:val="00BC2E87"/>
    <w:rsid w:val="00BC36FC"/>
    <w:rsid w:val="00BD0993"/>
    <w:rsid w:val="00BD2E8C"/>
    <w:rsid w:val="00BD4F31"/>
    <w:rsid w:val="00BD5AE4"/>
    <w:rsid w:val="00BE142C"/>
    <w:rsid w:val="00BE1747"/>
    <w:rsid w:val="00BE63B1"/>
    <w:rsid w:val="00BE6B05"/>
    <w:rsid w:val="00BE7203"/>
    <w:rsid w:val="00BF0614"/>
    <w:rsid w:val="00BF0F30"/>
    <w:rsid w:val="00BF1571"/>
    <w:rsid w:val="00BF1940"/>
    <w:rsid w:val="00BF4DA4"/>
    <w:rsid w:val="00BF4F2A"/>
    <w:rsid w:val="00BF7480"/>
    <w:rsid w:val="00BF7DDC"/>
    <w:rsid w:val="00C004A3"/>
    <w:rsid w:val="00C009F9"/>
    <w:rsid w:val="00C034B4"/>
    <w:rsid w:val="00C035A4"/>
    <w:rsid w:val="00C05A2E"/>
    <w:rsid w:val="00C06B61"/>
    <w:rsid w:val="00C077AE"/>
    <w:rsid w:val="00C135CE"/>
    <w:rsid w:val="00C17F4D"/>
    <w:rsid w:val="00C26714"/>
    <w:rsid w:val="00C30A9C"/>
    <w:rsid w:val="00C31660"/>
    <w:rsid w:val="00C31911"/>
    <w:rsid w:val="00C31960"/>
    <w:rsid w:val="00C34C44"/>
    <w:rsid w:val="00C37900"/>
    <w:rsid w:val="00C4069D"/>
    <w:rsid w:val="00C41CBB"/>
    <w:rsid w:val="00C42CF3"/>
    <w:rsid w:val="00C43139"/>
    <w:rsid w:val="00C43247"/>
    <w:rsid w:val="00C43D29"/>
    <w:rsid w:val="00C52DA9"/>
    <w:rsid w:val="00C52F9C"/>
    <w:rsid w:val="00C55626"/>
    <w:rsid w:val="00C56321"/>
    <w:rsid w:val="00C60356"/>
    <w:rsid w:val="00C6101E"/>
    <w:rsid w:val="00C6159F"/>
    <w:rsid w:val="00C61FB9"/>
    <w:rsid w:val="00C70E66"/>
    <w:rsid w:val="00C71C37"/>
    <w:rsid w:val="00C73FEF"/>
    <w:rsid w:val="00C74BF2"/>
    <w:rsid w:val="00C76EF4"/>
    <w:rsid w:val="00C82710"/>
    <w:rsid w:val="00C86D64"/>
    <w:rsid w:val="00C91EFB"/>
    <w:rsid w:val="00CA2C8A"/>
    <w:rsid w:val="00CA3748"/>
    <w:rsid w:val="00CB07C5"/>
    <w:rsid w:val="00CB53BE"/>
    <w:rsid w:val="00CB58CF"/>
    <w:rsid w:val="00CB6DD4"/>
    <w:rsid w:val="00CC138F"/>
    <w:rsid w:val="00CC5B6A"/>
    <w:rsid w:val="00CD0AEE"/>
    <w:rsid w:val="00CD0E8E"/>
    <w:rsid w:val="00CD357A"/>
    <w:rsid w:val="00CD5C1A"/>
    <w:rsid w:val="00CD787B"/>
    <w:rsid w:val="00CE65CA"/>
    <w:rsid w:val="00CE71A7"/>
    <w:rsid w:val="00CE743E"/>
    <w:rsid w:val="00CE7B8A"/>
    <w:rsid w:val="00CF293D"/>
    <w:rsid w:val="00D001DD"/>
    <w:rsid w:val="00D1263B"/>
    <w:rsid w:val="00D22504"/>
    <w:rsid w:val="00D22FA1"/>
    <w:rsid w:val="00D25ABF"/>
    <w:rsid w:val="00D31D18"/>
    <w:rsid w:val="00D35C16"/>
    <w:rsid w:val="00D3687D"/>
    <w:rsid w:val="00D36E73"/>
    <w:rsid w:val="00D40F80"/>
    <w:rsid w:val="00D41538"/>
    <w:rsid w:val="00D530B6"/>
    <w:rsid w:val="00D610BA"/>
    <w:rsid w:val="00D640A7"/>
    <w:rsid w:val="00D6433F"/>
    <w:rsid w:val="00D656A3"/>
    <w:rsid w:val="00D66666"/>
    <w:rsid w:val="00D67A35"/>
    <w:rsid w:val="00D71391"/>
    <w:rsid w:val="00D72DB9"/>
    <w:rsid w:val="00D74ADC"/>
    <w:rsid w:val="00D75AE4"/>
    <w:rsid w:val="00D765A2"/>
    <w:rsid w:val="00D7707A"/>
    <w:rsid w:val="00D77081"/>
    <w:rsid w:val="00D772EB"/>
    <w:rsid w:val="00D77852"/>
    <w:rsid w:val="00D778C1"/>
    <w:rsid w:val="00D83488"/>
    <w:rsid w:val="00D84787"/>
    <w:rsid w:val="00D87E81"/>
    <w:rsid w:val="00D91AFB"/>
    <w:rsid w:val="00D97D86"/>
    <w:rsid w:val="00DA2F5B"/>
    <w:rsid w:val="00DA50B6"/>
    <w:rsid w:val="00DA721D"/>
    <w:rsid w:val="00DB0A17"/>
    <w:rsid w:val="00DB1983"/>
    <w:rsid w:val="00DB39B0"/>
    <w:rsid w:val="00DB56C0"/>
    <w:rsid w:val="00DC11CA"/>
    <w:rsid w:val="00DC198F"/>
    <w:rsid w:val="00DC1AAE"/>
    <w:rsid w:val="00DC1FF6"/>
    <w:rsid w:val="00DC386E"/>
    <w:rsid w:val="00DD44ED"/>
    <w:rsid w:val="00DE270C"/>
    <w:rsid w:val="00DE2C0C"/>
    <w:rsid w:val="00DE4913"/>
    <w:rsid w:val="00DE49B9"/>
    <w:rsid w:val="00DE57CD"/>
    <w:rsid w:val="00DE7AF0"/>
    <w:rsid w:val="00DF7D89"/>
    <w:rsid w:val="00E011EC"/>
    <w:rsid w:val="00E01669"/>
    <w:rsid w:val="00E0392E"/>
    <w:rsid w:val="00E0474A"/>
    <w:rsid w:val="00E118F8"/>
    <w:rsid w:val="00E1389C"/>
    <w:rsid w:val="00E17028"/>
    <w:rsid w:val="00E23535"/>
    <w:rsid w:val="00E2600A"/>
    <w:rsid w:val="00E2760F"/>
    <w:rsid w:val="00E319B6"/>
    <w:rsid w:val="00E31D6C"/>
    <w:rsid w:val="00E34997"/>
    <w:rsid w:val="00E35F00"/>
    <w:rsid w:val="00E42765"/>
    <w:rsid w:val="00E4407C"/>
    <w:rsid w:val="00E5244F"/>
    <w:rsid w:val="00E64535"/>
    <w:rsid w:val="00E66E94"/>
    <w:rsid w:val="00E71BBF"/>
    <w:rsid w:val="00E72D54"/>
    <w:rsid w:val="00E73721"/>
    <w:rsid w:val="00E75708"/>
    <w:rsid w:val="00E76FBB"/>
    <w:rsid w:val="00E86ABD"/>
    <w:rsid w:val="00EA23FB"/>
    <w:rsid w:val="00EA3585"/>
    <w:rsid w:val="00EA4F25"/>
    <w:rsid w:val="00EA77FB"/>
    <w:rsid w:val="00EB0558"/>
    <w:rsid w:val="00EB2C33"/>
    <w:rsid w:val="00EC1E61"/>
    <w:rsid w:val="00EC24AC"/>
    <w:rsid w:val="00EC7758"/>
    <w:rsid w:val="00ED02D9"/>
    <w:rsid w:val="00ED11DB"/>
    <w:rsid w:val="00ED322F"/>
    <w:rsid w:val="00EE11FA"/>
    <w:rsid w:val="00EE38A4"/>
    <w:rsid w:val="00EE45B0"/>
    <w:rsid w:val="00EE540C"/>
    <w:rsid w:val="00EE6918"/>
    <w:rsid w:val="00EE6DA7"/>
    <w:rsid w:val="00EF2191"/>
    <w:rsid w:val="00EF419F"/>
    <w:rsid w:val="00F02A24"/>
    <w:rsid w:val="00F06542"/>
    <w:rsid w:val="00F07191"/>
    <w:rsid w:val="00F10EFD"/>
    <w:rsid w:val="00F1234B"/>
    <w:rsid w:val="00F1378C"/>
    <w:rsid w:val="00F2033F"/>
    <w:rsid w:val="00F2059C"/>
    <w:rsid w:val="00F22F84"/>
    <w:rsid w:val="00F277B7"/>
    <w:rsid w:val="00F30CEC"/>
    <w:rsid w:val="00F33609"/>
    <w:rsid w:val="00F362F4"/>
    <w:rsid w:val="00F366B2"/>
    <w:rsid w:val="00F407B4"/>
    <w:rsid w:val="00F41206"/>
    <w:rsid w:val="00F4378A"/>
    <w:rsid w:val="00F455A0"/>
    <w:rsid w:val="00F50E7A"/>
    <w:rsid w:val="00F515C7"/>
    <w:rsid w:val="00F54AB6"/>
    <w:rsid w:val="00F5632B"/>
    <w:rsid w:val="00F57F56"/>
    <w:rsid w:val="00F678A9"/>
    <w:rsid w:val="00F70CEC"/>
    <w:rsid w:val="00F82086"/>
    <w:rsid w:val="00F91DB7"/>
    <w:rsid w:val="00F92BFF"/>
    <w:rsid w:val="00FA0228"/>
    <w:rsid w:val="00FA233E"/>
    <w:rsid w:val="00FA4A92"/>
    <w:rsid w:val="00FA766B"/>
    <w:rsid w:val="00FB39FD"/>
    <w:rsid w:val="00FB75FF"/>
    <w:rsid w:val="00FC7F7F"/>
    <w:rsid w:val="00FD0125"/>
    <w:rsid w:val="00FD1B9B"/>
    <w:rsid w:val="00FD25DA"/>
    <w:rsid w:val="00FE29A7"/>
    <w:rsid w:val="00FE3038"/>
    <w:rsid w:val="00FF08A8"/>
    <w:rsid w:val="00FF1F0F"/>
    <w:rsid w:val="00FF26C5"/>
    <w:rsid w:val="00FF723A"/>
    <w:rsid w:val="018D1BDC"/>
    <w:rsid w:val="01BF6730"/>
    <w:rsid w:val="02123AD6"/>
    <w:rsid w:val="02431A7D"/>
    <w:rsid w:val="024636D4"/>
    <w:rsid w:val="028B5457"/>
    <w:rsid w:val="02A75CF9"/>
    <w:rsid w:val="02C80459"/>
    <w:rsid w:val="03261624"/>
    <w:rsid w:val="032A7313"/>
    <w:rsid w:val="0380434E"/>
    <w:rsid w:val="03832A08"/>
    <w:rsid w:val="03834BBA"/>
    <w:rsid w:val="03B17691"/>
    <w:rsid w:val="03BB09EB"/>
    <w:rsid w:val="03BE5D3A"/>
    <w:rsid w:val="03C60B66"/>
    <w:rsid w:val="03D3645E"/>
    <w:rsid w:val="03F842E2"/>
    <w:rsid w:val="041D362B"/>
    <w:rsid w:val="043A2C58"/>
    <w:rsid w:val="04485EBC"/>
    <w:rsid w:val="047400C6"/>
    <w:rsid w:val="05060F28"/>
    <w:rsid w:val="05096B07"/>
    <w:rsid w:val="053A514B"/>
    <w:rsid w:val="053B7608"/>
    <w:rsid w:val="05A263D4"/>
    <w:rsid w:val="05E568AC"/>
    <w:rsid w:val="06497727"/>
    <w:rsid w:val="06657CAB"/>
    <w:rsid w:val="06707752"/>
    <w:rsid w:val="068621B7"/>
    <w:rsid w:val="06F34CAC"/>
    <w:rsid w:val="071333A8"/>
    <w:rsid w:val="0795497D"/>
    <w:rsid w:val="07AD2313"/>
    <w:rsid w:val="07C4574A"/>
    <w:rsid w:val="07D4164E"/>
    <w:rsid w:val="083F4047"/>
    <w:rsid w:val="087D3C9D"/>
    <w:rsid w:val="089D4B60"/>
    <w:rsid w:val="08BF2A47"/>
    <w:rsid w:val="09654619"/>
    <w:rsid w:val="097D2390"/>
    <w:rsid w:val="09B74D83"/>
    <w:rsid w:val="09C54A15"/>
    <w:rsid w:val="09C55650"/>
    <w:rsid w:val="0A5F0236"/>
    <w:rsid w:val="0A6F00E2"/>
    <w:rsid w:val="0A731B76"/>
    <w:rsid w:val="0A8F3F52"/>
    <w:rsid w:val="0AA64BCB"/>
    <w:rsid w:val="0ABE08B4"/>
    <w:rsid w:val="0AE61DC4"/>
    <w:rsid w:val="0B4A526A"/>
    <w:rsid w:val="0BA010B5"/>
    <w:rsid w:val="0BA93AA3"/>
    <w:rsid w:val="0BBC2635"/>
    <w:rsid w:val="0BBE689D"/>
    <w:rsid w:val="0C175FAD"/>
    <w:rsid w:val="0C17625F"/>
    <w:rsid w:val="0C566B3E"/>
    <w:rsid w:val="0CBD260A"/>
    <w:rsid w:val="0D541C42"/>
    <w:rsid w:val="0D82482D"/>
    <w:rsid w:val="0D8E04F1"/>
    <w:rsid w:val="0DC94207"/>
    <w:rsid w:val="0E0535F5"/>
    <w:rsid w:val="0E437964"/>
    <w:rsid w:val="0E4C6257"/>
    <w:rsid w:val="0E963B01"/>
    <w:rsid w:val="0ED94B43"/>
    <w:rsid w:val="0F414D68"/>
    <w:rsid w:val="0F447E11"/>
    <w:rsid w:val="0F4E64F0"/>
    <w:rsid w:val="0F5D37DE"/>
    <w:rsid w:val="10442408"/>
    <w:rsid w:val="10710382"/>
    <w:rsid w:val="107A3EA9"/>
    <w:rsid w:val="108F3F0F"/>
    <w:rsid w:val="1097590F"/>
    <w:rsid w:val="10A90535"/>
    <w:rsid w:val="10CE41C2"/>
    <w:rsid w:val="1125147F"/>
    <w:rsid w:val="1129635C"/>
    <w:rsid w:val="112B6D22"/>
    <w:rsid w:val="1188442E"/>
    <w:rsid w:val="122709C8"/>
    <w:rsid w:val="12811990"/>
    <w:rsid w:val="12A14823"/>
    <w:rsid w:val="12C53A89"/>
    <w:rsid w:val="12E666D9"/>
    <w:rsid w:val="13030AD0"/>
    <w:rsid w:val="132E6526"/>
    <w:rsid w:val="13517FF7"/>
    <w:rsid w:val="13A50343"/>
    <w:rsid w:val="13AE5449"/>
    <w:rsid w:val="13B86C23"/>
    <w:rsid w:val="13D90051"/>
    <w:rsid w:val="14131E94"/>
    <w:rsid w:val="144B713C"/>
    <w:rsid w:val="14904384"/>
    <w:rsid w:val="14A9209E"/>
    <w:rsid w:val="14C56255"/>
    <w:rsid w:val="14CD0BC2"/>
    <w:rsid w:val="156347D8"/>
    <w:rsid w:val="157265ED"/>
    <w:rsid w:val="15B94248"/>
    <w:rsid w:val="161A46DC"/>
    <w:rsid w:val="16404C60"/>
    <w:rsid w:val="164125A5"/>
    <w:rsid w:val="166C55C5"/>
    <w:rsid w:val="16935C60"/>
    <w:rsid w:val="16A879C0"/>
    <w:rsid w:val="16CB2C00"/>
    <w:rsid w:val="170F161A"/>
    <w:rsid w:val="17D54719"/>
    <w:rsid w:val="17E859EA"/>
    <w:rsid w:val="185527C3"/>
    <w:rsid w:val="1865462D"/>
    <w:rsid w:val="187F0613"/>
    <w:rsid w:val="18820C52"/>
    <w:rsid w:val="18BB48F6"/>
    <w:rsid w:val="18D83724"/>
    <w:rsid w:val="18DF46D7"/>
    <w:rsid w:val="18DF60A5"/>
    <w:rsid w:val="190E59AB"/>
    <w:rsid w:val="199A77CA"/>
    <w:rsid w:val="19BC44F3"/>
    <w:rsid w:val="19C5647F"/>
    <w:rsid w:val="1A0D01EE"/>
    <w:rsid w:val="1A1D74FC"/>
    <w:rsid w:val="1A375B0A"/>
    <w:rsid w:val="1A4408B5"/>
    <w:rsid w:val="1A8579EE"/>
    <w:rsid w:val="1ACD723D"/>
    <w:rsid w:val="1AEA2550"/>
    <w:rsid w:val="1B727D13"/>
    <w:rsid w:val="1BA90DF4"/>
    <w:rsid w:val="1BB76E65"/>
    <w:rsid w:val="1BCD0437"/>
    <w:rsid w:val="1C014A15"/>
    <w:rsid w:val="1C697720"/>
    <w:rsid w:val="1C9C03FD"/>
    <w:rsid w:val="1CAA546D"/>
    <w:rsid w:val="1CCF3068"/>
    <w:rsid w:val="1CEC53DC"/>
    <w:rsid w:val="1D0E6F59"/>
    <w:rsid w:val="1D552DD9"/>
    <w:rsid w:val="1D7E5E8C"/>
    <w:rsid w:val="1D9B3C57"/>
    <w:rsid w:val="1D9B6720"/>
    <w:rsid w:val="1DB04570"/>
    <w:rsid w:val="1DCD2FAD"/>
    <w:rsid w:val="1DD957B9"/>
    <w:rsid w:val="1E1D28C5"/>
    <w:rsid w:val="1EB853CE"/>
    <w:rsid w:val="1EFD1033"/>
    <w:rsid w:val="1F271A4D"/>
    <w:rsid w:val="1F63739D"/>
    <w:rsid w:val="1FD004F5"/>
    <w:rsid w:val="1FEF4E1F"/>
    <w:rsid w:val="201725C8"/>
    <w:rsid w:val="20347594"/>
    <w:rsid w:val="20432BA3"/>
    <w:rsid w:val="209B6BCD"/>
    <w:rsid w:val="20D10916"/>
    <w:rsid w:val="213276BA"/>
    <w:rsid w:val="21665039"/>
    <w:rsid w:val="21940529"/>
    <w:rsid w:val="21A8797C"/>
    <w:rsid w:val="21BA346A"/>
    <w:rsid w:val="21D36124"/>
    <w:rsid w:val="21F030D1"/>
    <w:rsid w:val="21F5213C"/>
    <w:rsid w:val="22360547"/>
    <w:rsid w:val="22657663"/>
    <w:rsid w:val="22900C5B"/>
    <w:rsid w:val="22A01AE8"/>
    <w:rsid w:val="22BD5CA4"/>
    <w:rsid w:val="22C46731"/>
    <w:rsid w:val="22F551A2"/>
    <w:rsid w:val="22F63B66"/>
    <w:rsid w:val="22FC6550"/>
    <w:rsid w:val="23104D3E"/>
    <w:rsid w:val="231C01D1"/>
    <w:rsid w:val="233D4DA9"/>
    <w:rsid w:val="238443FE"/>
    <w:rsid w:val="23A726AF"/>
    <w:rsid w:val="23E66539"/>
    <w:rsid w:val="24323C3C"/>
    <w:rsid w:val="24661428"/>
    <w:rsid w:val="2480073C"/>
    <w:rsid w:val="24A15491"/>
    <w:rsid w:val="24B838AB"/>
    <w:rsid w:val="24CE594B"/>
    <w:rsid w:val="24DC1FA2"/>
    <w:rsid w:val="250E2E52"/>
    <w:rsid w:val="25290DD3"/>
    <w:rsid w:val="2538390E"/>
    <w:rsid w:val="26912BBE"/>
    <w:rsid w:val="271D4C6D"/>
    <w:rsid w:val="27320050"/>
    <w:rsid w:val="27361586"/>
    <w:rsid w:val="27601A2C"/>
    <w:rsid w:val="27764D2D"/>
    <w:rsid w:val="27930786"/>
    <w:rsid w:val="27B15219"/>
    <w:rsid w:val="27B2767A"/>
    <w:rsid w:val="27F5609D"/>
    <w:rsid w:val="281207F5"/>
    <w:rsid w:val="296A5176"/>
    <w:rsid w:val="29CE5107"/>
    <w:rsid w:val="29D27E76"/>
    <w:rsid w:val="2A1A2880"/>
    <w:rsid w:val="2A202079"/>
    <w:rsid w:val="2A5709DD"/>
    <w:rsid w:val="2AC17609"/>
    <w:rsid w:val="2AED3CD8"/>
    <w:rsid w:val="2AFC4894"/>
    <w:rsid w:val="2B644051"/>
    <w:rsid w:val="2B6448D2"/>
    <w:rsid w:val="2BA54637"/>
    <w:rsid w:val="2BD001FB"/>
    <w:rsid w:val="2BE05F64"/>
    <w:rsid w:val="2C375068"/>
    <w:rsid w:val="2C840380"/>
    <w:rsid w:val="2C862667"/>
    <w:rsid w:val="2CFF5BF9"/>
    <w:rsid w:val="2D1E2F21"/>
    <w:rsid w:val="2D227891"/>
    <w:rsid w:val="2D2E3A18"/>
    <w:rsid w:val="2D3543F5"/>
    <w:rsid w:val="2D9C277F"/>
    <w:rsid w:val="2DFF6B75"/>
    <w:rsid w:val="2E2C34E7"/>
    <w:rsid w:val="2E4A44E1"/>
    <w:rsid w:val="2E505623"/>
    <w:rsid w:val="2E514BAD"/>
    <w:rsid w:val="2E9C3D58"/>
    <w:rsid w:val="2EAE3B92"/>
    <w:rsid w:val="2F0B32CB"/>
    <w:rsid w:val="2F3C1719"/>
    <w:rsid w:val="2F566C69"/>
    <w:rsid w:val="2FD35FE0"/>
    <w:rsid w:val="3022643B"/>
    <w:rsid w:val="304F76C5"/>
    <w:rsid w:val="306F2500"/>
    <w:rsid w:val="307F7CD3"/>
    <w:rsid w:val="30901D07"/>
    <w:rsid w:val="309915E1"/>
    <w:rsid w:val="30B023A9"/>
    <w:rsid w:val="30E7444B"/>
    <w:rsid w:val="311F283C"/>
    <w:rsid w:val="31E81F78"/>
    <w:rsid w:val="31F273BA"/>
    <w:rsid w:val="320D1173"/>
    <w:rsid w:val="323679C5"/>
    <w:rsid w:val="328A49BF"/>
    <w:rsid w:val="32A01B75"/>
    <w:rsid w:val="32D61927"/>
    <w:rsid w:val="32E3095D"/>
    <w:rsid w:val="330B32C9"/>
    <w:rsid w:val="337D73C7"/>
    <w:rsid w:val="33BD403F"/>
    <w:rsid w:val="33D4745C"/>
    <w:rsid w:val="342A06C4"/>
    <w:rsid w:val="34C804DD"/>
    <w:rsid w:val="34E2510D"/>
    <w:rsid w:val="34FC5D1A"/>
    <w:rsid w:val="354D168B"/>
    <w:rsid w:val="356579C5"/>
    <w:rsid w:val="35844D64"/>
    <w:rsid w:val="35B14E4E"/>
    <w:rsid w:val="35D00D13"/>
    <w:rsid w:val="35D816B9"/>
    <w:rsid w:val="36552126"/>
    <w:rsid w:val="368F5199"/>
    <w:rsid w:val="3699454E"/>
    <w:rsid w:val="36B77D65"/>
    <w:rsid w:val="374266BE"/>
    <w:rsid w:val="375A4BA5"/>
    <w:rsid w:val="376478BC"/>
    <w:rsid w:val="37B165D2"/>
    <w:rsid w:val="38270559"/>
    <w:rsid w:val="383B4C4E"/>
    <w:rsid w:val="384F350F"/>
    <w:rsid w:val="387263A8"/>
    <w:rsid w:val="38F82E30"/>
    <w:rsid w:val="39363667"/>
    <w:rsid w:val="39401044"/>
    <w:rsid w:val="39464EC6"/>
    <w:rsid w:val="39680CF0"/>
    <w:rsid w:val="39AC7EF3"/>
    <w:rsid w:val="3A0C5A97"/>
    <w:rsid w:val="3A3E0663"/>
    <w:rsid w:val="3A5E2C40"/>
    <w:rsid w:val="3AD76784"/>
    <w:rsid w:val="3ADD5763"/>
    <w:rsid w:val="3AFA2E82"/>
    <w:rsid w:val="3B4E4304"/>
    <w:rsid w:val="3B536885"/>
    <w:rsid w:val="3B7B7CB3"/>
    <w:rsid w:val="3BEF76A2"/>
    <w:rsid w:val="3C1A31C4"/>
    <w:rsid w:val="3C4827A3"/>
    <w:rsid w:val="3CAA13F6"/>
    <w:rsid w:val="3CBF505A"/>
    <w:rsid w:val="3CDE3DFA"/>
    <w:rsid w:val="3CFB17AC"/>
    <w:rsid w:val="3CFD4C82"/>
    <w:rsid w:val="3D670774"/>
    <w:rsid w:val="3D7820D7"/>
    <w:rsid w:val="3D895565"/>
    <w:rsid w:val="3DE360A4"/>
    <w:rsid w:val="3DF6156D"/>
    <w:rsid w:val="3E3C6B9A"/>
    <w:rsid w:val="3E8C5742"/>
    <w:rsid w:val="3EBA50EC"/>
    <w:rsid w:val="3EC24051"/>
    <w:rsid w:val="3F3308CA"/>
    <w:rsid w:val="3F566814"/>
    <w:rsid w:val="3F624AC3"/>
    <w:rsid w:val="3F8F2819"/>
    <w:rsid w:val="3F9B273C"/>
    <w:rsid w:val="3F9B565A"/>
    <w:rsid w:val="3FB05DD8"/>
    <w:rsid w:val="3FD17791"/>
    <w:rsid w:val="404B6E8B"/>
    <w:rsid w:val="405D772B"/>
    <w:rsid w:val="408667A7"/>
    <w:rsid w:val="40CF697E"/>
    <w:rsid w:val="40FD33E8"/>
    <w:rsid w:val="41123129"/>
    <w:rsid w:val="412357A1"/>
    <w:rsid w:val="41594CA8"/>
    <w:rsid w:val="41664509"/>
    <w:rsid w:val="41815748"/>
    <w:rsid w:val="41A41AB6"/>
    <w:rsid w:val="42193413"/>
    <w:rsid w:val="423D3DD4"/>
    <w:rsid w:val="42514CC7"/>
    <w:rsid w:val="42EE1C67"/>
    <w:rsid w:val="42FD67B1"/>
    <w:rsid w:val="43082A83"/>
    <w:rsid w:val="434F77FF"/>
    <w:rsid w:val="437A27BF"/>
    <w:rsid w:val="43BE4985"/>
    <w:rsid w:val="43CB5D84"/>
    <w:rsid w:val="43CC0E50"/>
    <w:rsid w:val="440403EA"/>
    <w:rsid w:val="4404683C"/>
    <w:rsid w:val="44085042"/>
    <w:rsid w:val="445E7E48"/>
    <w:rsid w:val="447C2876"/>
    <w:rsid w:val="44EF3D1E"/>
    <w:rsid w:val="45007363"/>
    <w:rsid w:val="45156827"/>
    <w:rsid w:val="456C5AAB"/>
    <w:rsid w:val="456D41B9"/>
    <w:rsid w:val="456D6758"/>
    <w:rsid w:val="4588061E"/>
    <w:rsid w:val="458B6335"/>
    <w:rsid w:val="459250C4"/>
    <w:rsid w:val="45F25F2A"/>
    <w:rsid w:val="45FE1CA7"/>
    <w:rsid w:val="464078D3"/>
    <w:rsid w:val="468052EC"/>
    <w:rsid w:val="46A165C4"/>
    <w:rsid w:val="46BB75DF"/>
    <w:rsid w:val="46BC3F7B"/>
    <w:rsid w:val="46DA6011"/>
    <w:rsid w:val="47033812"/>
    <w:rsid w:val="472B4CB7"/>
    <w:rsid w:val="474C69AE"/>
    <w:rsid w:val="477D0C08"/>
    <w:rsid w:val="486C5F17"/>
    <w:rsid w:val="48767C88"/>
    <w:rsid w:val="487D02F7"/>
    <w:rsid w:val="48832410"/>
    <w:rsid w:val="489A04F4"/>
    <w:rsid w:val="489B6B8C"/>
    <w:rsid w:val="489F766D"/>
    <w:rsid w:val="48BE3326"/>
    <w:rsid w:val="48EE6F6A"/>
    <w:rsid w:val="48F408B2"/>
    <w:rsid w:val="4903273F"/>
    <w:rsid w:val="491F6C60"/>
    <w:rsid w:val="49215A77"/>
    <w:rsid w:val="497A3965"/>
    <w:rsid w:val="499E628F"/>
    <w:rsid w:val="4A1214FC"/>
    <w:rsid w:val="4A1E7F2C"/>
    <w:rsid w:val="4A2A2595"/>
    <w:rsid w:val="4A57313D"/>
    <w:rsid w:val="4A590F64"/>
    <w:rsid w:val="4AA31FD4"/>
    <w:rsid w:val="4ABB0832"/>
    <w:rsid w:val="4AF179D1"/>
    <w:rsid w:val="4B210CAF"/>
    <w:rsid w:val="4B68727B"/>
    <w:rsid w:val="4B964438"/>
    <w:rsid w:val="4BBF56F2"/>
    <w:rsid w:val="4BC314E0"/>
    <w:rsid w:val="4C2B6AAC"/>
    <w:rsid w:val="4C4C67AB"/>
    <w:rsid w:val="4C684DA8"/>
    <w:rsid w:val="4CA764C7"/>
    <w:rsid w:val="4CE61658"/>
    <w:rsid w:val="4DA04239"/>
    <w:rsid w:val="4E17376D"/>
    <w:rsid w:val="4E40502C"/>
    <w:rsid w:val="4E583A53"/>
    <w:rsid w:val="4E617532"/>
    <w:rsid w:val="4EBE304F"/>
    <w:rsid w:val="4EDF4B2F"/>
    <w:rsid w:val="4F36328E"/>
    <w:rsid w:val="4F4D2F87"/>
    <w:rsid w:val="4F540802"/>
    <w:rsid w:val="4FC32472"/>
    <w:rsid w:val="4FCF4407"/>
    <w:rsid w:val="501F64DD"/>
    <w:rsid w:val="501F67AB"/>
    <w:rsid w:val="505216FF"/>
    <w:rsid w:val="508A49AE"/>
    <w:rsid w:val="510575DE"/>
    <w:rsid w:val="51633377"/>
    <w:rsid w:val="5170086A"/>
    <w:rsid w:val="51C27291"/>
    <w:rsid w:val="523E643C"/>
    <w:rsid w:val="528905B7"/>
    <w:rsid w:val="52913978"/>
    <w:rsid w:val="533313F7"/>
    <w:rsid w:val="537F451C"/>
    <w:rsid w:val="53C9075E"/>
    <w:rsid w:val="544571FC"/>
    <w:rsid w:val="54F15B76"/>
    <w:rsid w:val="54FA4C71"/>
    <w:rsid w:val="54FC424B"/>
    <w:rsid w:val="552D63F6"/>
    <w:rsid w:val="555E799E"/>
    <w:rsid w:val="55DF782F"/>
    <w:rsid w:val="56170AED"/>
    <w:rsid w:val="56685F4A"/>
    <w:rsid w:val="568B4B9B"/>
    <w:rsid w:val="56A21D16"/>
    <w:rsid w:val="56FF2E93"/>
    <w:rsid w:val="57733D47"/>
    <w:rsid w:val="57833AC4"/>
    <w:rsid w:val="5836637E"/>
    <w:rsid w:val="589046EA"/>
    <w:rsid w:val="58CD1075"/>
    <w:rsid w:val="58E60627"/>
    <w:rsid w:val="58E80A23"/>
    <w:rsid w:val="59263585"/>
    <w:rsid w:val="594268F6"/>
    <w:rsid w:val="596B529F"/>
    <w:rsid w:val="59CD5810"/>
    <w:rsid w:val="59DB7BE7"/>
    <w:rsid w:val="59F82BC3"/>
    <w:rsid w:val="5A3211AE"/>
    <w:rsid w:val="5A400360"/>
    <w:rsid w:val="5A405C9C"/>
    <w:rsid w:val="5A796C72"/>
    <w:rsid w:val="5A7C457D"/>
    <w:rsid w:val="5A802DFF"/>
    <w:rsid w:val="5AAB0C22"/>
    <w:rsid w:val="5ABF4E13"/>
    <w:rsid w:val="5AD13A82"/>
    <w:rsid w:val="5AD14B46"/>
    <w:rsid w:val="5ADF3F7B"/>
    <w:rsid w:val="5AF62B85"/>
    <w:rsid w:val="5B030F22"/>
    <w:rsid w:val="5B75533C"/>
    <w:rsid w:val="5BB41A6A"/>
    <w:rsid w:val="5BC477BE"/>
    <w:rsid w:val="5BCA2D1A"/>
    <w:rsid w:val="5BCB0D02"/>
    <w:rsid w:val="5BD26C34"/>
    <w:rsid w:val="5BDF283A"/>
    <w:rsid w:val="5BE016BE"/>
    <w:rsid w:val="5BE74A3F"/>
    <w:rsid w:val="5C53579B"/>
    <w:rsid w:val="5C82434A"/>
    <w:rsid w:val="5CAE25A3"/>
    <w:rsid w:val="5D6018C6"/>
    <w:rsid w:val="5DBB5D65"/>
    <w:rsid w:val="5DDD7D4F"/>
    <w:rsid w:val="5E0B5EBF"/>
    <w:rsid w:val="5E5149F4"/>
    <w:rsid w:val="5E8F18FE"/>
    <w:rsid w:val="5EB5689D"/>
    <w:rsid w:val="5EE4309A"/>
    <w:rsid w:val="5F357D99"/>
    <w:rsid w:val="5F421E70"/>
    <w:rsid w:val="5F8D06B3"/>
    <w:rsid w:val="5F9767C2"/>
    <w:rsid w:val="5F9E220D"/>
    <w:rsid w:val="5FE601D0"/>
    <w:rsid w:val="60246866"/>
    <w:rsid w:val="605D3104"/>
    <w:rsid w:val="60AE79BA"/>
    <w:rsid w:val="61B3144F"/>
    <w:rsid w:val="61ED1D9D"/>
    <w:rsid w:val="621906A1"/>
    <w:rsid w:val="62223DE6"/>
    <w:rsid w:val="625F2EF1"/>
    <w:rsid w:val="62715700"/>
    <w:rsid w:val="62777AB9"/>
    <w:rsid w:val="62D7276E"/>
    <w:rsid w:val="634202AD"/>
    <w:rsid w:val="63541B91"/>
    <w:rsid w:val="636775D5"/>
    <w:rsid w:val="638C5AAE"/>
    <w:rsid w:val="63D23CF5"/>
    <w:rsid w:val="63F43D7F"/>
    <w:rsid w:val="640041D3"/>
    <w:rsid w:val="641969E9"/>
    <w:rsid w:val="64592443"/>
    <w:rsid w:val="64836EB1"/>
    <w:rsid w:val="64A37553"/>
    <w:rsid w:val="64BC3253"/>
    <w:rsid w:val="64FD4EB5"/>
    <w:rsid w:val="65870CD8"/>
    <w:rsid w:val="658E3D60"/>
    <w:rsid w:val="65BD383A"/>
    <w:rsid w:val="65BE4BDE"/>
    <w:rsid w:val="65D81891"/>
    <w:rsid w:val="65ED4564"/>
    <w:rsid w:val="65FF07B9"/>
    <w:rsid w:val="66277389"/>
    <w:rsid w:val="663A4273"/>
    <w:rsid w:val="664408C2"/>
    <w:rsid w:val="66477750"/>
    <w:rsid w:val="66AD470D"/>
    <w:rsid w:val="66EB7D79"/>
    <w:rsid w:val="66FC6213"/>
    <w:rsid w:val="671C21CB"/>
    <w:rsid w:val="674A63AC"/>
    <w:rsid w:val="676E38BA"/>
    <w:rsid w:val="67821B22"/>
    <w:rsid w:val="678E2E09"/>
    <w:rsid w:val="67B06C49"/>
    <w:rsid w:val="67C618F1"/>
    <w:rsid w:val="67F11B34"/>
    <w:rsid w:val="68143268"/>
    <w:rsid w:val="682D7F1E"/>
    <w:rsid w:val="682F205A"/>
    <w:rsid w:val="688334C4"/>
    <w:rsid w:val="693B7234"/>
    <w:rsid w:val="69542F02"/>
    <w:rsid w:val="695B21AB"/>
    <w:rsid w:val="699E7EEC"/>
    <w:rsid w:val="69AB0FA4"/>
    <w:rsid w:val="69B03BA8"/>
    <w:rsid w:val="69DA7573"/>
    <w:rsid w:val="69DF5ECA"/>
    <w:rsid w:val="6A2D08A0"/>
    <w:rsid w:val="6A3550F2"/>
    <w:rsid w:val="6A3B54B0"/>
    <w:rsid w:val="6A4F76B6"/>
    <w:rsid w:val="6A565227"/>
    <w:rsid w:val="6A9839F8"/>
    <w:rsid w:val="6AFF7146"/>
    <w:rsid w:val="6B2D7A85"/>
    <w:rsid w:val="6B33683F"/>
    <w:rsid w:val="6B8E29AA"/>
    <w:rsid w:val="6C264CF2"/>
    <w:rsid w:val="6C301C79"/>
    <w:rsid w:val="6C392B7B"/>
    <w:rsid w:val="6C9F4AA4"/>
    <w:rsid w:val="6CB100E7"/>
    <w:rsid w:val="6CBC11B2"/>
    <w:rsid w:val="6CDE737B"/>
    <w:rsid w:val="6D4E5DC0"/>
    <w:rsid w:val="6D770380"/>
    <w:rsid w:val="6D7F71A8"/>
    <w:rsid w:val="6D93000A"/>
    <w:rsid w:val="6DBA7A98"/>
    <w:rsid w:val="6DBB7FED"/>
    <w:rsid w:val="6DE24C48"/>
    <w:rsid w:val="6DE500A2"/>
    <w:rsid w:val="6E2E4332"/>
    <w:rsid w:val="6E341DD0"/>
    <w:rsid w:val="6E5B0E06"/>
    <w:rsid w:val="6E5B22EB"/>
    <w:rsid w:val="6E6A3CEA"/>
    <w:rsid w:val="6E731D44"/>
    <w:rsid w:val="6F3413A6"/>
    <w:rsid w:val="6F3D536C"/>
    <w:rsid w:val="6F581AE2"/>
    <w:rsid w:val="6F973D9C"/>
    <w:rsid w:val="6FC40194"/>
    <w:rsid w:val="6FDC74F9"/>
    <w:rsid w:val="6FF86747"/>
    <w:rsid w:val="700522CC"/>
    <w:rsid w:val="70465CE6"/>
    <w:rsid w:val="70676413"/>
    <w:rsid w:val="711201B3"/>
    <w:rsid w:val="71296110"/>
    <w:rsid w:val="71404A08"/>
    <w:rsid w:val="71630267"/>
    <w:rsid w:val="71AC5D26"/>
    <w:rsid w:val="71BE7F66"/>
    <w:rsid w:val="71C31235"/>
    <w:rsid w:val="71C35211"/>
    <w:rsid w:val="721A2F83"/>
    <w:rsid w:val="722E1DED"/>
    <w:rsid w:val="72374797"/>
    <w:rsid w:val="72C64CE3"/>
    <w:rsid w:val="72D157A8"/>
    <w:rsid w:val="733028FA"/>
    <w:rsid w:val="738C633D"/>
    <w:rsid w:val="73C65CEE"/>
    <w:rsid w:val="73E42338"/>
    <w:rsid w:val="74640AAD"/>
    <w:rsid w:val="74BD6E29"/>
    <w:rsid w:val="74F82289"/>
    <w:rsid w:val="75043042"/>
    <w:rsid w:val="75115ED5"/>
    <w:rsid w:val="75120066"/>
    <w:rsid w:val="754C038C"/>
    <w:rsid w:val="75541000"/>
    <w:rsid w:val="756155F2"/>
    <w:rsid w:val="756D1A2D"/>
    <w:rsid w:val="757E5B9F"/>
    <w:rsid w:val="762A6956"/>
    <w:rsid w:val="767D459E"/>
    <w:rsid w:val="769F3946"/>
    <w:rsid w:val="76B43CF5"/>
    <w:rsid w:val="76CD2DB9"/>
    <w:rsid w:val="76F53C3E"/>
    <w:rsid w:val="771B5705"/>
    <w:rsid w:val="77660698"/>
    <w:rsid w:val="777953BA"/>
    <w:rsid w:val="779F1DFC"/>
    <w:rsid w:val="782347DB"/>
    <w:rsid w:val="7827017C"/>
    <w:rsid w:val="784D5ECF"/>
    <w:rsid w:val="79002D6F"/>
    <w:rsid w:val="79032394"/>
    <w:rsid w:val="790E2D96"/>
    <w:rsid w:val="793B2638"/>
    <w:rsid w:val="795953D2"/>
    <w:rsid w:val="798D63C9"/>
    <w:rsid w:val="79940EF9"/>
    <w:rsid w:val="79A65581"/>
    <w:rsid w:val="79B1321F"/>
    <w:rsid w:val="79B87E6E"/>
    <w:rsid w:val="79CB6289"/>
    <w:rsid w:val="79CD24C2"/>
    <w:rsid w:val="79CE6FB8"/>
    <w:rsid w:val="7A296E90"/>
    <w:rsid w:val="7A682025"/>
    <w:rsid w:val="7A70182E"/>
    <w:rsid w:val="7B3F7B7E"/>
    <w:rsid w:val="7BA37EA7"/>
    <w:rsid w:val="7BA7312C"/>
    <w:rsid w:val="7BA9606D"/>
    <w:rsid w:val="7BC368A3"/>
    <w:rsid w:val="7BEA0A61"/>
    <w:rsid w:val="7C09226E"/>
    <w:rsid w:val="7C150BA0"/>
    <w:rsid w:val="7C217284"/>
    <w:rsid w:val="7C341A64"/>
    <w:rsid w:val="7C4B4301"/>
    <w:rsid w:val="7C6929D9"/>
    <w:rsid w:val="7CBB77F6"/>
    <w:rsid w:val="7CE406AC"/>
    <w:rsid w:val="7CE83E99"/>
    <w:rsid w:val="7D044408"/>
    <w:rsid w:val="7D3B4375"/>
    <w:rsid w:val="7D554915"/>
    <w:rsid w:val="7D8F021D"/>
    <w:rsid w:val="7DA0004D"/>
    <w:rsid w:val="7DBD2C9F"/>
    <w:rsid w:val="7DFD60A2"/>
    <w:rsid w:val="7E14458D"/>
    <w:rsid w:val="7E2D1F10"/>
    <w:rsid w:val="7E3D2CE1"/>
    <w:rsid w:val="7E6671D0"/>
    <w:rsid w:val="7E87759B"/>
    <w:rsid w:val="7EA700ED"/>
    <w:rsid w:val="7ECC7D7E"/>
    <w:rsid w:val="7ED34424"/>
    <w:rsid w:val="7EF56E6A"/>
    <w:rsid w:val="7F1363F7"/>
    <w:rsid w:val="7F17671C"/>
    <w:rsid w:val="7FA363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0"/>
    <w:qFormat/>
    <w:uiPriority w:val="9"/>
    <w:pPr>
      <w:keepNext/>
      <w:jc w:val="center"/>
      <w:outlineLvl w:val="0"/>
    </w:pPr>
    <w:rPr>
      <w:rFonts w:ascii="黑体" w:eastAsia="黑体"/>
      <w:sz w:val="52"/>
    </w:rPr>
  </w:style>
  <w:style w:type="paragraph" w:styleId="3">
    <w:name w:val="heading 2"/>
    <w:basedOn w:val="1"/>
    <w:next w:val="1"/>
    <w:link w:val="74"/>
    <w:unhideWhenUsed/>
    <w:qFormat/>
    <w:uiPriority w:val="9"/>
    <w:pPr>
      <w:widowControl/>
      <w:snapToGrid w:val="0"/>
      <w:spacing w:line="360" w:lineRule="auto"/>
      <w:ind w:firstLine="200" w:firstLineChars="200"/>
      <w:jc w:val="left"/>
      <w:outlineLvl w:val="1"/>
    </w:pPr>
    <w:rPr>
      <w:b/>
      <w:sz w:val="30"/>
    </w:rPr>
  </w:style>
  <w:style w:type="paragraph" w:styleId="4">
    <w:name w:val="heading 3"/>
    <w:basedOn w:val="1"/>
    <w:next w:val="1"/>
    <w:link w:val="81"/>
    <w:qFormat/>
    <w:uiPriority w:val="9"/>
    <w:pPr>
      <w:keepNext/>
      <w:keepLines/>
      <w:spacing w:before="260" w:after="260" w:line="416" w:lineRule="auto"/>
      <w:outlineLvl w:val="2"/>
    </w:pPr>
    <w:rPr>
      <w:b/>
      <w:bCs/>
      <w:sz w:val="32"/>
      <w:szCs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ind w:firstLine="420"/>
    </w:pPr>
    <w:rPr>
      <w:rFonts w:ascii="宋体"/>
      <w:sz w:val="24"/>
    </w:rPr>
  </w:style>
  <w:style w:type="paragraph" w:styleId="6">
    <w:name w:val="Document Map"/>
    <w:basedOn w:val="1"/>
    <w:next w:val="1"/>
    <w:link w:val="61"/>
    <w:qFormat/>
    <w:uiPriority w:val="99"/>
    <w:rPr>
      <w:rFonts w:ascii="宋体"/>
      <w:sz w:val="18"/>
      <w:szCs w:val="18"/>
    </w:rPr>
  </w:style>
  <w:style w:type="paragraph" w:styleId="7">
    <w:name w:val="annotation text"/>
    <w:basedOn w:val="1"/>
    <w:link w:val="54"/>
    <w:qFormat/>
    <w:uiPriority w:val="99"/>
    <w:pPr>
      <w:jc w:val="left"/>
    </w:pPr>
  </w:style>
  <w:style w:type="paragraph" w:styleId="8">
    <w:name w:val="Body Text"/>
    <w:basedOn w:val="1"/>
    <w:next w:val="1"/>
    <w:link w:val="76"/>
    <w:qFormat/>
    <w:uiPriority w:val="0"/>
    <w:pPr>
      <w:spacing w:after="120"/>
    </w:pPr>
  </w:style>
  <w:style w:type="paragraph" w:styleId="9">
    <w:name w:val="Body Text Indent"/>
    <w:basedOn w:val="1"/>
    <w:next w:val="1"/>
    <w:link w:val="77"/>
    <w:qFormat/>
    <w:uiPriority w:val="99"/>
    <w:pPr>
      <w:spacing w:line="200" w:lineRule="exact"/>
      <w:ind w:firstLine="301"/>
    </w:pPr>
    <w:rPr>
      <w:rFonts w:ascii="宋体" w:hAnsi="Courier New"/>
      <w:spacing w:val="-4"/>
      <w:sz w:val="18"/>
      <w:szCs w:val="20"/>
    </w:rPr>
  </w:style>
  <w:style w:type="paragraph" w:styleId="10">
    <w:name w:val="Block Text"/>
    <w:basedOn w:val="1"/>
    <w:qFormat/>
    <w:uiPriority w:val="0"/>
    <w:pPr>
      <w:widowControl/>
      <w:spacing w:before="100" w:beforeAutospacing="1" w:after="100" w:afterAutospacing="1"/>
      <w:jc w:val="left"/>
    </w:pPr>
    <w:rPr>
      <w:rFonts w:ascii="宋体" w:hAnsi="宋体" w:cs="宋体"/>
      <w:kern w:val="0"/>
      <w:sz w:val="24"/>
    </w:rPr>
  </w:style>
  <w:style w:type="paragraph" w:styleId="11">
    <w:name w:val="Plain Text"/>
    <w:basedOn w:val="1"/>
    <w:next w:val="5"/>
    <w:link w:val="59"/>
    <w:qFormat/>
    <w:uiPriority w:val="0"/>
    <w:rPr>
      <w:rFonts w:ascii="宋体" w:hAnsi="Courier New" w:cs="Courier New"/>
      <w:szCs w:val="21"/>
    </w:rPr>
  </w:style>
  <w:style w:type="paragraph" w:styleId="12">
    <w:name w:val="Date"/>
    <w:basedOn w:val="1"/>
    <w:next w:val="1"/>
    <w:qFormat/>
    <w:uiPriority w:val="0"/>
    <w:rPr>
      <w:rFonts w:ascii="宋体" w:hAnsi="宋体"/>
      <w:sz w:val="24"/>
    </w:rPr>
  </w:style>
  <w:style w:type="paragraph" w:styleId="13">
    <w:name w:val="Body Text Indent 2"/>
    <w:basedOn w:val="1"/>
    <w:link w:val="47"/>
    <w:qFormat/>
    <w:uiPriority w:val="0"/>
    <w:pPr>
      <w:spacing w:after="120" w:line="480" w:lineRule="auto"/>
      <w:ind w:left="420" w:leftChars="200"/>
    </w:pPr>
  </w:style>
  <w:style w:type="paragraph" w:styleId="14">
    <w:name w:val="Balloon Text"/>
    <w:basedOn w:val="1"/>
    <w:link w:val="79"/>
    <w:semiHidden/>
    <w:qFormat/>
    <w:uiPriority w:val="99"/>
    <w:rPr>
      <w:sz w:val="18"/>
      <w:szCs w:val="18"/>
    </w:rPr>
  </w:style>
  <w:style w:type="paragraph" w:styleId="15">
    <w:name w:val="footer"/>
    <w:basedOn w:val="1"/>
    <w:link w:val="78"/>
    <w:qFormat/>
    <w:uiPriority w:val="99"/>
    <w:pPr>
      <w:tabs>
        <w:tab w:val="center" w:pos="4153"/>
        <w:tab w:val="right" w:pos="8306"/>
      </w:tabs>
      <w:snapToGrid w:val="0"/>
      <w:jc w:val="left"/>
    </w:pPr>
    <w:rPr>
      <w:sz w:val="18"/>
      <w:szCs w:val="18"/>
    </w:rPr>
  </w:style>
  <w:style w:type="paragraph" w:styleId="16">
    <w:name w:val="envelope return"/>
    <w:basedOn w:val="1"/>
    <w:qFormat/>
    <w:uiPriority w:val="0"/>
    <w:pPr>
      <w:snapToGrid w:val="0"/>
      <w:jc w:val="center"/>
    </w:pPr>
    <w:rPr>
      <w:sz w:val="24"/>
    </w:rPr>
  </w:style>
  <w:style w:type="paragraph" w:styleId="17">
    <w:name w:val="header"/>
    <w:basedOn w:val="1"/>
    <w:link w:val="53"/>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before="120" w:after="120"/>
      <w:jc w:val="left"/>
    </w:pPr>
    <w:rPr>
      <w:b/>
      <w:bCs/>
      <w:caps/>
      <w:sz w:val="20"/>
      <w:szCs w:val="20"/>
    </w:rPr>
  </w:style>
  <w:style w:type="paragraph" w:styleId="19">
    <w:name w:val="toc 4"/>
    <w:basedOn w:val="1"/>
    <w:next w:val="1"/>
    <w:qFormat/>
    <w:uiPriority w:val="0"/>
    <w:pPr>
      <w:ind w:left="1260"/>
    </w:pPr>
  </w:style>
  <w:style w:type="paragraph" w:styleId="20">
    <w:name w:val="toc 2"/>
    <w:basedOn w:val="1"/>
    <w:next w:val="1"/>
    <w:unhideWhenUsed/>
    <w:qFormat/>
    <w:uiPriority w:val="39"/>
    <w:pPr>
      <w:ind w:left="420" w:leftChars="200"/>
    </w:p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2">
    <w:name w:val="Title"/>
    <w:basedOn w:val="1"/>
    <w:next w:val="1"/>
    <w:qFormat/>
    <w:uiPriority w:val="0"/>
    <w:pPr>
      <w:jc w:val="center"/>
      <w:outlineLvl w:val="0"/>
    </w:pPr>
    <w:rPr>
      <w:b/>
      <w:sz w:val="32"/>
      <w:szCs w:val="20"/>
    </w:rPr>
  </w:style>
  <w:style w:type="paragraph" w:styleId="23">
    <w:name w:val="annotation subject"/>
    <w:basedOn w:val="7"/>
    <w:next w:val="7"/>
    <w:link w:val="57"/>
    <w:qFormat/>
    <w:uiPriority w:val="99"/>
    <w:rPr>
      <w:b/>
      <w:bCs/>
    </w:rPr>
  </w:style>
  <w:style w:type="paragraph" w:styleId="24">
    <w:name w:val="Body Text First Indent"/>
    <w:basedOn w:val="8"/>
    <w:qFormat/>
    <w:uiPriority w:val="0"/>
    <w:pPr>
      <w:snapToGrid w:val="0"/>
      <w:spacing w:before="40" w:beforeLines="0" w:after="40" w:afterLines="0" w:line="288" w:lineRule="auto"/>
      <w:ind w:firstLine="482"/>
    </w:pPr>
    <w:rPr>
      <w:rFonts w:ascii="仿宋_GB2312" w:eastAsia="仿宋_GB2312"/>
      <w:sz w:val="28"/>
      <w:szCs w:val="20"/>
    </w:rPr>
  </w:style>
  <w:style w:type="paragraph" w:styleId="25">
    <w:name w:val="Body Text First Indent 2"/>
    <w:basedOn w:val="1"/>
    <w:next w:val="1"/>
    <w:qFormat/>
    <w:uiPriority w:val="0"/>
    <w:pPr>
      <w:ind w:firstLine="420"/>
    </w:pPr>
  </w:style>
  <w:style w:type="table" w:styleId="27">
    <w:name w:val="Table Grid"/>
    <w:basedOn w:val="26"/>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page number"/>
    <w:basedOn w:val="28"/>
    <w:qFormat/>
    <w:uiPriority w:val="0"/>
  </w:style>
  <w:style w:type="character" w:styleId="31">
    <w:name w:val="FollowedHyperlink"/>
    <w:basedOn w:val="28"/>
    <w:qFormat/>
    <w:uiPriority w:val="99"/>
    <w:rPr>
      <w:color w:val="333333"/>
      <w:u w:val="none"/>
    </w:rPr>
  </w:style>
  <w:style w:type="character" w:styleId="32">
    <w:name w:val="Emphasis"/>
    <w:basedOn w:val="28"/>
    <w:qFormat/>
    <w:uiPriority w:val="0"/>
  </w:style>
  <w:style w:type="character" w:styleId="33">
    <w:name w:val="HTML Definition"/>
    <w:basedOn w:val="28"/>
    <w:autoRedefine/>
    <w:qFormat/>
    <w:uiPriority w:val="0"/>
  </w:style>
  <w:style w:type="character" w:styleId="34">
    <w:name w:val="HTML Acronym"/>
    <w:basedOn w:val="28"/>
    <w:autoRedefine/>
    <w:qFormat/>
    <w:uiPriority w:val="0"/>
  </w:style>
  <w:style w:type="character" w:styleId="35">
    <w:name w:val="HTML Variable"/>
    <w:basedOn w:val="28"/>
    <w:autoRedefine/>
    <w:qFormat/>
    <w:uiPriority w:val="0"/>
  </w:style>
  <w:style w:type="character" w:styleId="36">
    <w:name w:val="Hyperlink"/>
    <w:autoRedefine/>
    <w:qFormat/>
    <w:uiPriority w:val="99"/>
    <w:rPr>
      <w:color w:val="000000"/>
      <w:u w:val="none"/>
    </w:rPr>
  </w:style>
  <w:style w:type="character" w:styleId="37">
    <w:name w:val="HTML Code"/>
    <w:basedOn w:val="28"/>
    <w:autoRedefine/>
    <w:qFormat/>
    <w:uiPriority w:val="0"/>
    <w:rPr>
      <w:rFonts w:ascii="Courier New" w:hAnsi="Courier New"/>
      <w:sz w:val="20"/>
    </w:rPr>
  </w:style>
  <w:style w:type="character" w:styleId="38">
    <w:name w:val="annotation reference"/>
    <w:basedOn w:val="28"/>
    <w:autoRedefine/>
    <w:qFormat/>
    <w:uiPriority w:val="99"/>
    <w:rPr>
      <w:sz w:val="21"/>
      <w:szCs w:val="21"/>
    </w:rPr>
  </w:style>
  <w:style w:type="character" w:styleId="39">
    <w:name w:val="HTML Cite"/>
    <w:basedOn w:val="28"/>
    <w:autoRedefine/>
    <w:qFormat/>
    <w:uiPriority w:val="0"/>
  </w:style>
  <w:style w:type="paragraph" w:customStyle="1" w:styleId="40">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41">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42">
    <w:name w:val="font61"/>
    <w:basedOn w:val="28"/>
    <w:autoRedefine/>
    <w:qFormat/>
    <w:uiPriority w:val="0"/>
    <w:rPr>
      <w:rFonts w:hint="eastAsia" w:ascii="宋体" w:hAnsi="宋体" w:eastAsia="宋体" w:cs="宋体"/>
      <w:b/>
      <w:color w:val="000000"/>
      <w:sz w:val="24"/>
      <w:szCs w:val="24"/>
      <w:u w:val="none"/>
    </w:rPr>
  </w:style>
  <w:style w:type="character" w:customStyle="1" w:styleId="43">
    <w:name w:val="font11"/>
    <w:basedOn w:val="28"/>
    <w:autoRedefine/>
    <w:qFormat/>
    <w:uiPriority w:val="0"/>
    <w:rPr>
      <w:rFonts w:hint="default" w:ascii="Arial" w:hAnsi="Arial" w:cs="Arial"/>
      <w:color w:val="FF0000"/>
      <w:sz w:val="20"/>
      <w:szCs w:val="20"/>
      <w:u w:val="none"/>
    </w:rPr>
  </w:style>
  <w:style w:type="character" w:customStyle="1" w:styleId="44">
    <w:name w:val="font01"/>
    <w:basedOn w:val="28"/>
    <w:autoRedefine/>
    <w:qFormat/>
    <w:uiPriority w:val="0"/>
    <w:rPr>
      <w:rFonts w:hint="default" w:ascii="Arial" w:hAnsi="Arial" w:cs="Arial"/>
      <w:color w:val="000000"/>
      <w:sz w:val="20"/>
      <w:szCs w:val="20"/>
      <w:u w:val="none"/>
    </w:rPr>
  </w:style>
  <w:style w:type="character" w:customStyle="1" w:styleId="45">
    <w:name w:val="font51"/>
    <w:basedOn w:val="28"/>
    <w:autoRedefine/>
    <w:qFormat/>
    <w:uiPriority w:val="0"/>
    <w:rPr>
      <w:rFonts w:hint="eastAsia" w:ascii="宋体" w:hAnsi="宋体" w:eastAsia="宋体" w:cs="宋体"/>
      <w:color w:val="FF0000"/>
      <w:sz w:val="20"/>
      <w:szCs w:val="20"/>
      <w:u w:val="none"/>
    </w:rPr>
  </w:style>
  <w:style w:type="character" w:customStyle="1" w:styleId="46">
    <w:name w:val="font31"/>
    <w:basedOn w:val="28"/>
    <w:autoRedefine/>
    <w:qFormat/>
    <w:uiPriority w:val="0"/>
    <w:rPr>
      <w:rFonts w:hint="eastAsia" w:ascii="宋体" w:hAnsi="宋体" w:eastAsia="宋体" w:cs="宋体"/>
      <w:color w:val="000000"/>
      <w:sz w:val="20"/>
      <w:szCs w:val="20"/>
      <w:u w:val="none"/>
    </w:rPr>
  </w:style>
  <w:style w:type="character" w:customStyle="1" w:styleId="47">
    <w:name w:val="正文文本缩进 2 Char"/>
    <w:link w:val="13"/>
    <w:autoRedefine/>
    <w:qFormat/>
    <w:uiPriority w:val="0"/>
    <w:rPr>
      <w:kern w:val="2"/>
      <w:sz w:val="21"/>
      <w:szCs w:val="24"/>
    </w:rPr>
  </w:style>
  <w:style w:type="character" w:customStyle="1" w:styleId="48">
    <w:name w:val="Char Char3"/>
    <w:autoRedefine/>
    <w:qFormat/>
    <w:locked/>
    <w:uiPriority w:val="0"/>
    <w:rPr>
      <w:rFonts w:ascii="宋体" w:hAnsi="Courier New" w:eastAsia="宋体"/>
      <w:kern w:val="2"/>
      <w:sz w:val="21"/>
      <w:lang w:val="en-US" w:eastAsia="zh-CN" w:bidi="ar-SA"/>
    </w:rPr>
  </w:style>
  <w:style w:type="character" w:customStyle="1" w:styleId="49">
    <w:name w:val="font41"/>
    <w:basedOn w:val="28"/>
    <w:autoRedefine/>
    <w:qFormat/>
    <w:uiPriority w:val="0"/>
    <w:rPr>
      <w:rFonts w:hint="default" w:ascii="Arial" w:hAnsi="Arial" w:cs="Arial"/>
      <w:color w:val="FF0000"/>
      <w:sz w:val="20"/>
      <w:szCs w:val="20"/>
      <w:u w:val="none"/>
    </w:rPr>
  </w:style>
  <w:style w:type="character" w:customStyle="1" w:styleId="50">
    <w:name w:val="font81"/>
    <w:basedOn w:val="28"/>
    <w:autoRedefine/>
    <w:qFormat/>
    <w:uiPriority w:val="0"/>
    <w:rPr>
      <w:rFonts w:hint="eastAsia" w:ascii="宋体" w:hAnsi="宋体" w:eastAsia="宋体" w:cs="宋体"/>
      <w:b/>
      <w:color w:val="000000"/>
      <w:sz w:val="22"/>
      <w:szCs w:val="22"/>
      <w:u w:val="none"/>
    </w:rPr>
  </w:style>
  <w:style w:type="character" w:customStyle="1" w:styleId="51">
    <w:name w:val="样式 纯文本 + (符号) 宋体 Char"/>
    <w:link w:val="52"/>
    <w:autoRedefine/>
    <w:qFormat/>
    <w:uiPriority w:val="0"/>
    <w:rPr>
      <w:rFonts w:ascii="宋体" w:hAnsi="Courier New" w:eastAsia="宋体"/>
      <w:kern w:val="2"/>
      <w:sz w:val="21"/>
      <w:lang w:val="en-US" w:eastAsia="zh-CN" w:bidi="ar-SA"/>
    </w:rPr>
  </w:style>
  <w:style w:type="paragraph" w:customStyle="1" w:styleId="52">
    <w:name w:val="样式 纯文本 + (符号) 宋体"/>
    <w:basedOn w:val="11"/>
    <w:link w:val="51"/>
    <w:autoRedefine/>
    <w:qFormat/>
    <w:uiPriority w:val="0"/>
    <w:pPr>
      <w:jc w:val="center"/>
    </w:pPr>
    <w:rPr>
      <w:rFonts w:cs="Times New Roman"/>
      <w:szCs w:val="20"/>
    </w:rPr>
  </w:style>
  <w:style w:type="character" w:customStyle="1" w:styleId="53">
    <w:name w:val="页眉 Char"/>
    <w:basedOn w:val="28"/>
    <w:link w:val="17"/>
    <w:autoRedefine/>
    <w:qFormat/>
    <w:uiPriority w:val="99"/>
    <w:rPr>
      <w:kern w:val="2"/>
      <w:sz w:val="18"/>
      <w:szCs w:val="18"/>
    </w:rPr>
  </w:style>
  <w:style w:type="character" w:customStyle="1" w:styleId="54">
    <w:name w:val="批注文字 Char"/>
    <w:basedOn w:val="28"/>
    <w:link w:val="7"/>
    <w:autoRedefine/>
    <w:qFormat/>
    <w:uiPriority w:val="99"/>
    <w:rPr>
      <w:kern w:val="2"/>
      <w:sz w:val="21"/>
      <w:szCs w:val="24"/>
    </w:rPr>
  </w:style>
  <w:style w:type="character" w:customStyle="1" w:styleId="55">
    <w:name w:val="font71"/>
    <w:basedOn w:val="28"/>
    <w:autoRedefine/>
    <w:qFormat/>
    <w:uiPriority w:val="0"/>
    <w:rPr>
      <w:rFonts w:hint="eastAsia" w:ascii="宋体" w:hAnsi="宋体" w:eastAsia="宋体" w:cs="宋体"/>
      <w:color w:val="000000"/>
      <w:sz w:val="20"/>
      <w:szCs w:val="20"/>
      <w:u w:val="none"/>
    </w:rPr>
  </w:style>
  <w:style w:type="character" w:customStyle="1" w:styleId="56">
    <w:name w:val="font21"/>
    <w:basedOn w:val="28"/>
    <w:autoRedefine/>
    <w:qFormat/>
    <w:uiPriority w:val="0"/>
    <w:rPr>
      <w:rFonts w:hint="eastAsia" w:ascii="宋体" w:hAnsi="宋体" w:eastAsia="宋体" w:cs="宋体"/>
      <w:color w:val="000000"/>
      <w:sz w:val="20"/>
      <w:szCs w:val="20"/>
      <w:u w:val="none"/>
    </w:rPr>
  </w:style>
  <w:style w:type="character" w:customStyle="1" w:styleId="57">
    <w:name w:val="批注主题 Char"/>
    <w:basedOn w:val="54"/>
    <w:link w:val="23"/>
    <w:autoRedefine/>
    <w:qFormat/>
    <w:uiPriority w:val="99"/>
    <w:rPr>
      <w:kern w:val="2"/>
      <w:sz w:val="21"/>
      <w:szCs w:val="24"/>
    </w:rPr>
  </w:style>
  <w:style w:type="character" w:customStyle="1" w:styleId="58">
    <w:name w:val="apple-converted-space"/>
    <w:basedOn w:val="28"/>
    <w:autoRedefine/>
    <w:qFormat/>
    <w:uiPriority w:val="0"/>
  </w:style>
  <w:style w:type="character" w:customStyle="1" w:styleId="59">
    <w:name w:val="纯文本 Char"/>
    <w:link w:val="11"/>
    <w:autoRedefine/>
    <w:qFormat/>
    <w:uiPriority w:val="0"/>
    <w:rPr>
      <w:rFonts w:ascii="宋体" w:hAnsi="Courier New" w:eastAsia="宋体" w:cs="Courier New"/>
      <w:kern w:val="2"/>
      <w:sz w:val="21"/>
      <w:szCs w:val="21"/>
      <w:lang w:val="en-US" w:eastAsia="zh-CN" w:bidi="ar-SA"/>
    </w:rPr>
  </w:style>
  <w:style w:type="paragraph" w:customStyle="1" w:styleId="60">
    <w:name w:val="plaintext"/>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61">
    <w:name w:val="文档结构图 Char"/>
    <w:basedOn w:val="28"/>
    <w:link w:val="6"/>
    <w:autoRedefine/>
    <w:qFormat/>
    <w:uiPriority w:val="99"/>
    <w:rPr>
      <w:rFonts w:ascii="宋体"/>
      <w:kern w:val="2"/>
      <w:sz w:val="18"/>
      <w:szCs w:val="18"/>
    </w:rPr>
  </w:style>
  <w:style w:type="paragraph" w:customStyle="1" w:styleId="62">
    <w:name w:val="纯文本11"/>
    <w:next w:val="19"/>
    <w:autoRedefine/>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63">
    <w:name w:val="纯文本2"/>
    <w:next w:val="19"/>
    <w:autoRedefine/>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64">
    <w:name w:val="纯文本1"/>
    <w:next w:val="19"/>
    <w:autoRedefine/>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65">
    <w:name w:val="纯文本12"/>
    <w:next w:val="19"/>
    <w:autoRedefine/>
    <w:qFormat/>
    <w:uiPriority w:val="0"/>
    <w:pPr>
      <w:widowControl w:val="0"/>
      <w:adjustRightInd w:val="0"/>
      <w:jc w:val="both"/>
    </w:pPr>
    <w:rPr>
      <w:rFonts w:ascii="宋体" w:hAnsi="宋体" w:eastAsia="楷体_GB2312" w:cs="Times New Roman"/>
      <w:kern w:val="2"/>
      <w:sz w:val="26"/>
      <w:szCs w:val="22"/>
      <w:lang w:val="en-US" w:eastAsia="zh-CN" w:bidi="ar-SA"/>
    </w:rPr>
  </w:style>
  <w:style w:type="paragraph" w:styleId="66">
    <w:name w:val="List Paragraph"/>
    <w:basedOn w:val="1"/>
    <w:autoRedefine/>
    <w:qFormat/>
    <w:uiPriority w:val="99"/>
    <w:pPr>
      <w:ind w:firstLine="420" w:firstLineChars="200"/>
    </w:pPr>
  </w:style>
  <w:style w:type="paragraph" w:customStyle="1" w:styleId="67">
    <w:name w:val="无间隔1"/>
    <w:basedOn w:val="1"/>
    <w:autoRedefine/>
    <w:qFormat/>
    <w:uiPriority w:val="0"/>
  </w:style>
  <w:style w:type="character" w:customStyle="1" w:styleId="68">
    <w:name w:val="font131"/>
    <w:basedOn w:val="28"/>
    <w:autoRedefine/>
    <w:qFormat/>
    <w:uiPriority w:val="0"/>
    <w:rPr>
      <w:rFonts w:hint="eastAsia" w:ascii="仿宋" w:hAnsi="仿宋" w:eastAsia="仿宋" w:cs="仿宋"/>
      <w:color w:val="000000"/>
      <w:sz w:val="20"/>
      <w:szCs w:val="20"/>
      <w:u w:val="none"/>
    </w:rPr>
  </w:style>
  <w:style w:type="character" w:customStyle="1" w:styleId="69">
    <w:name w:val="font142"/>
    <w:basedOn w:val="28"/>
    <w:autoRedefine/>
    <w:qFormat/>
    <w:uiPriority w:val="0"/>
    <w:rPr>
      <w:rFonts w:hint="eastAsia" w:ascii="仿宋" w:hAnsi="仿宋" w:eastAsia="仿宋" w:cs="仿宋"/>
      <w:color w:val="000000"/>
      <w:sz w:val="20"/>
      <w:szCs w:val="20"/>
      <w:u w:val="none"/>
      <w:vertAlign w:val="subscript"/>
    </w:rPr>
  </w:style>
  <w:style w:type="paragraph" w:customStyle="1" w:styleId="70">
    <w:name w:val="表格内容"/>
    <w:basedOn w:val="1"/>
    <w:autoRedefine/>
    <w:qFormat/>
    <w:uiPriority w:val="0"/>
    <w:pPr>
      <w:jc w:val="center"/>
    </w:pPr>
    <w:rPr>
      <w:rFonts w:eastAsia="仿宋_GB2312"/>
      <w:sz w:val="18"/>
      <w:szCs w:val="21"/>
    </w:rPr>
  </w:style>
  <w:style w:type="paragraph" w:customStyle="1" w:styleId="71">
    <w:name w:val="图表名"/>
    <w:next w:val="1"/>
    <w:autoRedefine/>
    <w:qFormat/>
    <w:uiPriority w:val="0"/>
    <w:pPr>
      <w:jc w:val="center"/>
    </w:pPr>
    <w:rPr>
      <w:rFonts w:ascii="Times New Roman" w:hAnsi="Times New Roman" w:eastAsia="黑体" w:cstheme="minorBidi"/>
      <w:b/>
      <w:bCs/>
      <w:kern w:val="44"/>
      <w:sz w:val="21"/>
      <w:szCs w:val="44"/>
      <w:lang w:val="en-US" w:eastAsia="zh-CN" w:bidi="ar-SA"/>
    </w:rPr>
  </w:style>
  <w:style w:type="paragraph" w:customStyle="1" w:styleId="72">
    <w:name w:val="图表"/>
    <w:basedOn w:val="71"/>
    <w:next w:val="71"/>
    <w:autoRedefine/>
    <w:qFormat/>
    <w:uiPriority w:val="0"/>
    <w:rPr>
      <w:rFonts w:eastAsia="仿宋"/>
      <w:b w:val="0"/>
      <w:sz w:val="24"/>
    </w:rPr>
  </w:style>
  <w:style w:type="paragraph" w:customStyle="1" w:styleId="73">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74">
    <w:name w:val="标题 2 Char"/>
    <w:basedOn w:val="28"/>
    <w:link w:val="3"/>
    <w:autoRedefine/>
    <w:qFormat/>
    <w:uiPriority w:val="9"/>
    <w:rPr>
      <w:b/>
      <w:kern w:val="2"/>
      <w:sz w:val="30"/>
      <w:szCs w:val="24"/>
    </w:rPr>
  </w:style>
  <w:style w:type="table" w:customStyle="1" w:styleId="75">
    <w:name w:val="网格型1"/>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6">
    <w:name w:val="正文文本 Char"/>
    <w:link w:val="8"/>
    <w:autoRedefine/>
    <w:qFormat/>
    <w:uiPriority w:val="0"/>
    <w:rPr>
      <w:kern w:val="2"/>
      <w:sz w:val="21"/>
      <w:szCs w:val="24"/>
    </w:rPr>
  </w:style>
  <w:style w:type="character" w:customStyle="1" w:styleId="77">
    <w:name w:val="正文文本缩进 Char"/>
    <w:basedOn w:val="28"/>
    <w:link w:val="9"/>
    <w:autoRedefine/>
    <w:qFormat/>
    <w:uiPriority w:val="99"/>
    <w:rPr>
      <w:rFonts w:ascii="宋体" w:hAnsi="Courier New"/>
      <w:spacing w:val="-4"/>
      <w:kern w:val="2"/>
      <w:sz w:val="18"/>
    </w:rPr>
  </w:style>
  <w:style w:type="character" w:customStyle="1" w:styleId="78">
    <w:name w:val="页脚 Char"/>
    <w:basedOn w:val="28"/>
    <w:link w:val="15"/>
    <w:autoRedefine/>
    <w:qFormat/>
    <w:uiPriority w:val="99"/>
    <w:rPr>
      <w:kern w:val="2"/>
      <w:sz w:val="18"/>
      <w:szCs w:val="18"/>
    </w:rPr>
  </w:style>
  <w:style w:type="character" w:customStyle="1" w:styleId="79">
    <w:name w:val="批注框文本 Char"/>
    <w:basedOn w:val="28"/>
    <w:link w:val="14"/>
    <w:autoRedefine/>
    <w:semiHidden/>
    <w:qFormat/>
    <w:uiPriority w:val="99"/>
    <w:rPr>
      <w:kern w:val="2"/>
      <w:sz w:val="18"/>
      <w:szCs w:val="18"/>
    </w:rPr>
  </w:style>
  <w:style w:type="character" w:customStyle="1" w:styleId="80">
    <w:name w:val="标题 1 Char"/>
    <w:basedOn w:val="28"/>
    <w:link w:val="2"/>
    <w:autoRedefine/>
    <w:qFormat/>
    <w:uiPriority w:val="9"/>
    <w:rPr>
      <w:rFonts w:ascii="黑体" w:eastAsia="黑体"/>
      <w:kern w:val="2"/>
      <w:sz w:val="52"/>
      <w:szCs w:val="24"/>
    </w:rPr>
  </w:style>
  <w:style w:type="character" w:customStyle="1" w:styleId="81">
    <w:name w:val="标题 3 Char"/>
    <w:basedOn w:val="28"/>
    <w:link w:val="4"/>
    <w:autoRedefine/>
    <w:qFormat/>
    <w:uiPriority w:val="9"/>
    <w:rPr>
      <w:b/>
      <w:bCs/>
      <w:kern w:val="2"/>
      <w:sz w:val="32"/>
      <w:szCs w:val="32"/>
    </w:rPr>
  </w:style>
  <w:style w:type="paragraph" w:customStyle="1" w:styleId="82">
    <w:name w:val="正文2"/>
    <w:qFormat/>
    <w:uiPriority w:val="0"/>
    <w:pPr>
      <w:widowControl w:val="0"/>
      <w:jc w:val="both"/>
    </w:pPr>
    <w:rPr>
      <w:rFonts w:ascii="Calibri" w:hAnsi="Calibri" w:eastAsia="宋体" w:cs="Times New Roman"/>
      <w:lang w:val="en-US" w:eastAsia="zh-CN" w:bidi="ar-SA"/>
    </w:rPr>
  </w:style>
  <w:style w:type="paragraph" w:customStyle="1" w:styleId="83">
    <w:name w:val="正文1"/>
    <w:autoRedefine/>
    <w:qFormat/>
    <w:uiPriority w:val="0"/>
    <w:pPr>
      <w:widowControl w:val="0"/>
      <w:spacing w:line="360" w:lineRule="auto"/>
    </w:pPr>
    <w:rPr>
      <w:rFonts w:ascii="Calibri" w:hAnsi="Calibri" w:eastAsia="等线" w:cs="Times New Roman"/>
      <w:sz w:val="24"/>
      <w:szCs w:val="24"/>
      <w:lang w:val="en-US" w:eastAsia="zh-CN" w:bidi="ar-SA"/>
    </w:rPr>
  </w:style>
  <w:style w:type="character" w:customStyle="1" w:styleId="84">
    <w:name w:val="页码1"/>
    <w:basedOn w:val="28"/>
    <w:autoRedefine/>
    <w:qFormat/>
    <w:uiPriority w:val="0"/>
  </w:style>
  <w:style w:type="paragraph" w:customStyle="1" w:styleId="85">
    <w:name w:val="Table Paragraph"/>
    <w:basedOn w:val="1"/>
    <w:autoRedefine/>
    <w:qFormat/>
    <w:uiPriority w:val="1"/>
    <w:pPr>
      <w:autoSpaceDE w:val="0"/>
      <w:autoSpaceDN w:val="0"/>
      <w:adjustRightInd w:val="0"/>
      <w:jc w:val="left"/>
    </w:pPr>
    <w:rPr>
      <w:rFonts w:eastAsia="等线"/>
      <w:kern w:val="0"/>
      <w:sz w:val="24"/>
    </w:rPr>
  </w:style>
  <w:style w:type="paragraph" w:customStyle="1" w:styleId="86">
    <w:name w:val="正文 A"/>
    <w:autoRedefine/>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character" w:customStyle="1" w:styleId="87">
    <w:name w:val="NormalCharacter"/>
    <w:autoRedefine/>
    <w:qFormat/>
    <w:uiPriority w:val="0"/>
    <w:rPr>
      <w:rFonts w:ascii="Times New Roman" w:hAnsi="Times New Roman" w:eastAsia="宋体" w:cs="Times New Roman"/>
      <w:kern w:val="2"/>
      <w:sz w:val="21"/>
      <w:lang w:val="en-US" w:eastAsia="zh-CN" w:bidi="ar-SA"/>
    </w:rPr>
  </w:style>
  <w:style w:type="paragraph" w:customStyle="1" w:styleId="88">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89">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0">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91">
    <w:name w:val="font6"/>
    <w:basedOn w:val="1"/>
    <w:autoRedefine/>
    <w:qFormat/>
    <w:uiPriority w:val="0"/>
    <w:pPr>
      <w:widowControl/>
      <w:spacing w:before="100" w:beforeAutospacing="1" w:after="100" w:afterAutospacing="1"/>
      <w:jc w:val="left"/>
    </w:pPr>
    <w:rPr>
      <w:color w:val="000000"/>
      <w:kern w:val="0"/>
      <w:sz w:val="22"/>
      <w:szCs w:val="22"/>
    </w:rPr>
  </w:style>
  <w:style w:type="paragraph" w:customStyle="1" w:styleId="92">
    <w:name w:val="font7"/>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93">
    <w:name w:val="font8"/>
    <w:basedOn w:val="1"/>
    <w:autoRedefine/>
    <w:qFormat/>
    <w:uiPriority w:val="0"/>
    <w:pPr>
      <w:widowControl/>
      <w:spacing w:before="100" w:beforeAutospacing="1" w:after="100" w:afterAutospacing="1"/>
      <w:jc w:val="left"/>
    </w:pPr>
    <w:rPr>
      <w:rFonts w:ascii="等线" w:hAnsi="等线" w:eastAsia="等线" w:cs="宋体"/>
      <w:color w:val="000000"/>
      <w:kern w:val="0"/>
      <w:sz w:val="22"/>
      <w:szCs w:val="22"/>
    </w:rPr>
  </w:style>
  <w:style w:type="paragraph" w:customStyle="1" w:styleId="94">
    <w:name w:val="font9"/>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95">
    <w:name w:val="font10"/>
    <w:basedOn w:val="1"/>
    <w:autoRedefine/>
    <w:qFormat/>
    <w:uiPriority w:val="0"/>
    <w:pPr>
      <w:widowControl/>
      <w:spacing w:before="100" w:beforeAutospacing="1" w:after="100" w:afterAutospacing="1"/>
      <w:jc w:val="left"/>
    </w:pPr>
    <w:rPr>
      <w:rFonts w:ascii="等线" w:hAnsi="等线" w:eastAsia="等线" w:cs="宋体"/>
      <w:color w:val="000000"/>
      <w:kern w:val="0"/>
      <w:sz w:val="22"/>
      <w:szCs w:val="22"/>
    </w:rPr>
  </w:style>
  <w:style w:type="paragraph" w:customStyle="1" w:styleId="96">
    <w:name w:val="font12"/>
    <w:basedOn w:val="1"/>
    <w:autoRedefine/>
    <w:qFormat/>
    <w:uiPriority w:val="0"/>
    <w:pPr>
      <w:widowControl/>
      <w:spacing w:before="100" w:beforeAutospacing="1" w:after="100" w:afterAutospacing="1"/>
      <w:jc w:val="left"/>
    </w:pPr>
    <w:rPr>
      <w:b/>
      <w:bCs/>
      <w:color w:val="000000"/>
      <w:kern w:val="0"/>
      <w:sz w:val="22"/>
      <w:szCs w:val="22"/>
    </w:rPr>
  </w:style>
  <w:style w:type="paragraph" w:customStyle="1" w:styleId="97">
    <w:name w:val="font13"/>
    <w:basedOn w:val="1"/>
    <w:autoRedefine/>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98">
    <w:name w:val="xl65"/>
    <w:basedOn w:val="1"/>
    <w:autoRedefine/>
    <w:qFormat/>
    <w:uiPriority w:val="0"/>
    <w:pPr>
      <w:widowControl/>
      <w:spacing w:before="100" w:beforeAutospacing="1" w:after="100" w:afterAutospacing="1"/>
      <w:jc w:val="left"/>
      <w:textAlignment w:val="bottom"/>
    </w:pPr>
    <w:rPr>
      <w:rFonts w:ascii="宋体" w:hAnsi="宋体" w:cs="宋体"/>
      <w:kern w:val="0"/>
      <w:sz w:val="24"/>
    </w:rPr>
  </w:style>
  <w:style w:type="paragraph" w:customStyle="1" w:styleId="99">
    <w:name w:val="xl66"/>
    <w:basedOn w:val="1"/>
    <w:autoRedefine/>
    <w:qFormat/>
    <w:uiPriority w:val="0"/>
    <w:pPr>
      <w:widowControl/>
      <w:spacing w:before="100" w:beforeAutospacing="1" w:after="100" w:afterAutospacing="1"/>
      <w:jc w:val="center"/>
    </w:pPr>
    <w:rPr>
      <w:kern w:val="0"/>
      <w:sz w:val="24"/>
    </w:rPr>
  </w:style>
  <w:style w:type="paragraph" w:customStyle="1" w:styleId="100">
    <w:name w:val="xl67"/>
    <w:basedOn w:val="1"/>
    <w:autoRedefine/>
    <w:qFormat/>
    <w:uiPriority w:val="0"/>
    <w:pPr>
      <w:widowControl/>
      <w:spacing w:before="100" w:beforeAutospacing="1" w:after="100" w:afterAutospacing="1"/>
      <w:jc w:val="center"/>
    </w:pPr>
    <w:rPr>
      <w:kern w:val="0"/>
      <w:sz w:val="24"/>
    </w:rPr>
  </w:style>
  <w:style w:type="paragraph" w:customStyle="1" w:styleId="101">
    <w:name w:val="xl68"/>
    <w:basedOn w:val="1"/>
    <w:autoRedefine/>
    <w:qFormat/>
    <w:uiPriority w:val="0"/>
    <w:pPr>
      <w:widowControl/>
      <w:spacing w:before="100" w:beforeAutospacing="1" w:after="100" w:afterAutospacing="1"/>
      <w:jc w:val="center"/>
    </w:pPr>
    <w:rPr>
      <w:kern w:val="0"/>
      <w:sz w:val="24"/>
    </w:rPr>
  </w:style>
  <w:style w:type="paragraph" w:customStyle="1" w:styleId="102">
    <w:name w:val="xl69"/>
    <w:basedOn w:val="1"/>
    <w:autoRedefine/>
    <w:qFormat/>
    <w:uiPriority w:val="0"/>
    <w:pPr>
      <w:widowControl/>
      <w:spacing w:before="100" w:beforeAutospacing="1" w:after="100" w:afterAutospacing="1"/>
      <w:jc w:val="center"/>
    </w:pPr>
    <w:rPr>
      <w:kern w:val="0"/>
      <w:sz w:val="24"/>
    </w:rPr>
  </w:style>
  <w:style w:type="paragraph" w:customStyle="1" w:styleId="103">
    <w:name w:val="xl70"/>
    <w:basedOn w:val="1"/>
    <w:autoRedefine/>
    <w:qFormat/>
    <w:uiPriority w:val="0"/>
    <w:pPr>
      <w:widowControl/>
      <w:spacing w:before="100" w:beforeAutospacing="1" w:after="100" w:afterAutospacing="1"/>
      <w:jc w:val="center"/>
      <w:textAlignment w:val="bottom"/>
    </w:pPr>
    <w:rPr>
      <w:kern w:val="0"/>
      <w:sz w:val="24"/>
    </w:rPr>
  </w:style>
  <w:style w:type="paragraph" w:customStyle="1" w:styleId="104">
    <w:name w:val="xl71"/>
    <w:basedOn w:val="1"/>
    <w:autoRedefine/>
    <w:qFormat/>
    <w:uiPriority w:val="0"/>
    <w:pPr>
      <w:widowControl/>
      <w:pBdr>
        <w:left w:val="single" w:color="auto" w:sz="8" w:space="0"/>
      </w:pBdr>
      <w:spacing w:before="100" w:beforeAutospacing="1" w:after="100" w:afterAutospacing="1"/>
      <w:jc w:val="center"/>
    </w:pPr>
    <w:rPr>
      <w:kern w:val="0"/>
      <w:sz w:val="24"/>
    </w:rPr>
  </w:style>
  <w:style w:type="paragraph" w:customStyle="1" w:styleId="105">
    <w:name w:val="xl72"/>
    <w:basedOn w:val="1"/>
    <w:autoRedefine/>
    <w:qFormat/>
    <w:uiPriority w:val="0"/>
    <w:pPr>
      <w:widowControl/>
      <w:pBdr>
        <w:right w:val="single" w:color="auto" w:sz="8" w:space="0"/>
      </w:pBdr>
      <w:spacing w:before="100" w:beforeAutospacing="1" w:after="100" w:afterAutospacing="1"/>
      <w:jc w:val="center"/>
      <w:textAlignment w:val="bottom"/>
    </w:pPr>
    <w:rPr>
      <w:kern w:val="0"/>
      <w:sz w:val="24"/>
    </w:rPr>
  </w:style>
  <w:style w:type="paragraph" w:customStyle="1" w:styleId="106">
    <w:name w:val="xl73"/>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07">
    <w:name w:val="xl74"/>
    <w:basedOn w:val="1"/>
    <w:autoRedefine/>
    <w:qFormat/>
    <w:uiPriority w:val="0"/>
    <w:pPr>
      <w:widowControl/>
      <w:pBdr>
        <w:right w:val="single" w:color="auto" w:sz="8" w:space="0"/>
      </w:pBdr>
      <w:spacing w:before="100" w:beforeAutospacing="1" w:after="100" w:afterAutospacing="1"/>
      <w:jc w:val="center"/>
      <w:textAlignment w:val="bottom"/>
    </w:pPr>
    <w:rPr>
      <w:rFonts w:ascii="宋体" w:hAnsi="宋体" w:cs="宋体"/>
      <w:kern w:val="0"/>
      <w:sz w:val="24"/>
    </w:rPr>
  </w:style>
  <w:style w:type="paragraph" w:customStyle="1" w:styleId="108">
    <w:name w:val="xl75"/>
    <w:basedOn w:val="1"/>
    <w:autoRedefine/>
    <w:qFormat/>
    <w:uiPriority w:val="0"/>
    <w:pPr>
      <w:widowControl/>
      <w:pBdr>
        <w:left w:val="single" w:color="auto" w:sz="8" w:space="0"/>
      </w:pBdr>
      <w:spacing w:before="100" w:beforeAutospacing="1" w:after="100" w:afterAutospacing="1"/>
      <w:jc w:val="center"/>
    </w:pPr>
    <w:rPr>
      <w:rFonts w:ascii="宋体" w:hAnsi="宋体" w:cs="宋体"/>
      <w:kern w:val="0"/>
      <w:sz w:val="24"/>
    </w:rPr>
  </w:style>
  <w:style w:type="paragraph" w:customStyle="1" w:styleId="109">
    <w:name w:val="xl76"/>
    <w:basedOn w:val="1"/>
    <w:autoRedefine/>
    <w:qFormat/>
    <w:uiPriority w:val="0"/>
    <w:pPr>
      <w:widowControl/>
      <w:spacing w:before="100" w:beforeAutospacing="1" w:after="100" w:afterAutospacing="1"/>
      <w:jc w:val="center"/>
    </w:pPr>
    <w:rPr>
      <w:b/>
      <w:bCs/>
      <w:kern w:val="0"/>
      <w:sz w:val="24"/>
    </w:rPr>
  </w:style>
  <w:style w:type="paragraph" w:customStyle="1" w:styleId="110">
    <w:name w:val="xl77"/>
    <w:basedOn w:val="1"/>
    <w:autoRedefine/>
    <w:qFormat/>
    <w:uiPriority w:val="0"/>
    <w:pPr>
      <w:widowControl/>
      <w:pBdr>
        <w:top w:val="single" w:color="auto" w:sz="8" w:space="0"/>
        <w:left w:val="single" w:color="auto" w:sz="8" w:space="0"/>
      </w:pBdr>
      <w:spacing w:before="100" w:beforeAutospacing="1" w:after="100" w:afterAutospacing="1"/>
      <w:jc w:val="center"/>
    </w:pPr>
    <w:rPr>
      <w:b/>
      <w:bCs/>
      <w:kern w:val="0"/>
      <w:sz w:val="24"/>
    </w:rPr>
  </w:style>
  <w:style w:type="paragraph" w:customStyle="1" w:styleId="111">
    <w:name w:val="xl78"/>
    <w:basedOn w:val="1"/>
    <w:autoRedefine/>
    <w:qFormat/>
    <w:uiPriority w:val="0"/>
    <w:pPr>
      <w:widowControl/>
      <w:pBdr>
        <w:top w:val="single" w:color="auto" w:sz="8" w:space="0"/>
      </w:pBdr>
      <w:spacing w:before="100" w:beforeAutospacing="1" w:after="100" w:afterAutospacing="1"/>
      <w:jc w:val="center"/>
    </w:pPr>
    <w:rPr>
      <w:b/>
      <w:bCs/>
      <w:kern w:val="0"/>
      <w:sz w:val="24"/>
    </w:rPr>
  </w:style>
  <w:style w:type="paragraph" w:customStyle="1" w:styleId="112">
    <w:name w:val="xl79"/>
    <w:basedOn w:val="1"/>
    <w:autoRedefine/>
    <w:qFormat/>
    <w:uiPriority w:val="0"/>
    <w:pPr>
      <w:widowControl/>
      <w:pBdr>
        <w:top w:val="single" w:color="auto" w:sz="8" w:space="0"/>
        <w:right w:val="single" w:color="auto" w:sz="8" w:space="0"/>
      </w:pBdr>
      <w:spacing w:before="100" w:beforeAutospacing="1" w:after="100" w:afterAutospacing="1"/>
      <w:jc w:val="center"/>
    </w:pPr>
    <w:rPr>
      <w:b/>
      <w:bCs/>
      <w:kern w:val="0"/>
      <w:sz w:val="24"/>
    </w:rPr>
  </w:style>
  <w:style w:type="paragraph" w:customStyle="1" w:styleId="113">
    <w:name w:val="xl80"/>
    <w:basedOn w:val="1"/>
    <w:autoRedefine/>
    <w:qFormat/>
    <w:uiPriority w:val="0"/>
    <w:pPr>
      <w:widowControl/>
      <w:pBdr>
        <w:left w:val="single" w:color="auto" w:sz="8" w:space="0"/>
      </w:pBdr>
      <w:spacing w:before="100" w:beforeAutospacing="1" w:after="100" w:afterAutospacing="1"/>
      <w:jc w:val="center"/>
    </w:pPr>
    <w:rPr>
      <w:b/>
      <w:bCs/>
      <w:kern w:val="0"/>
      <w:sz w:val="24"/>
    </w:rPr>
  </w:style>
  <w:style w:type="paragraph" w:customStyle="1" w:styleId="114">
    <w:name w:val="xl81"/>
    <w:basedOn w:val="1"/>
    <w:autoRedefine/>
    <w:qFormat/>
    <w:uiPriority w:val="0"/>
    <w:pPr>
      <w:widowControl/>
      <w:spacing w:before="100" w:beforeAutospacing="1" w:after="100" w:afterAutospacing="1"/>
      <w:jc w:val="center"/>
    </w:pPr>
    <w:rPr>
      <w:b/>
      <w:bCs/>
      <w:kern w:val="0"/>
      <w:sz w:val="24"/>
    </w:rPr>
  </w:style>
  <w:style w:type="paragraph" w:customStyle="1" w:styleId="115">
    <w:name w:val="修订3"/>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16">
    <w:name w:val="font111"/>
    <w:basedOn w:val="28"/>
    <w:autoRedefine/>
    <w:qFormat/>
    <w:uiPriority w:val="0"/>
    <w:rPr>
      <w:rFonts w:ascii="楷体" w:hAnsi="楷体" w:eastAsia="楷体" w:cs="楷体"/>
      <w:color w:val="000000"/>
      <w:sz w:val="21"/>
      <w:szCs w:val="21"/>
      <w:u w:val="none"/>
    </w:rPr>
  </w:style>
  <w:style w:type="paragraph" w:customStyle="1" w:styleId="117">
    <w:name w:val="修订4"/>
    <w:hidden/>
    <w:unhideWhenUsed/>
    <w:qFormat/>
    <w:uiPriority w:val="99"/>
    <w:rPr>
      <w:rFonts w:ascii="Times New Roman" w:hAnsi="Times New Roman" w:eastAsia="宋体" w:cs="Times New Roman"/>
      <w:kern w:val="2"/>
      <w:sz w:val="21"/>
      <w:szCs w:val="24"/>
      <w:lang w:val="en-US" w:eastAsia="zh-CN" w:bidi="ar-SA"/>
    </w:rPr>
  </w:style>
  <w:style w:type="character" w:customStyle="1" w:styleId="118">
    <w:name w:val="15"/>
    <w:basedOn w:val="28"/>
    <w:qFormat/>
    <w:uiPriority w:val="0"/>
    <w:rPr>
      <w:rFonts w:hint="default" w:ascii="Times New Roman" w:hAnsi="Times New Roman" w:cs="Times New Roman"/>
    </w:rPr>
  </w:style>
  <w:style w:type="character" w:customStyle="1" w:styleId="119">
    <w:name w:val="font91"/>
    <w:basedOn w:val="28"/>
    <w:qFormat/>
    <w:uiPriority w:val="0"/>
    <w:rPr>
      <w:rFonts w:hint="default"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F4A273-0C1A-427F-AFD7-4BC018CA9B57}">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39</Pages>
  <Words>4652</Words>
  <Characters>5157</Characters>
  <Lines>106</Lines>
  <Paragraphs>30</Paragraphs>
  <TotalTime>25</TotalTime>
  <ScaleCrop>false</ScaleCrop>
  <LinksUpToDate>false</LinksUpToDate>
  <CharactersWithSpaces>5317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2025-10-10T09:12:00Z</dcterms:created>
  <dc:creator>雨林木风</dc:creator>
  <cp:lastModifiedBy>wjenne</cp:lastModifiedBy>
  <cp:lastPrinted>2016-04-07T05:43:00Z</cp:lastPrinted>
  <dcterms:modified xsi:type="dcterms:W3CDTF">2026-01-14T09:03:06Z</dcterms:modified>
  <dc:title>询价采购通知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E5020629B48D4088BDEBB0315976D200_13</vt:lpwstr>
  </property>
  <property fmtid="{D5CDD505-2E9C-101B-9397-08002B2CF9AE}" pid="4" name="KSOTemplateDocerSaveRecord">
    <vt:lpwstr>eyJoZGlkIjoiMGUxYzA4YmY4ZWEyMzgzYjY2MzYwZGM2YTQxYjg1NjIiLCJ1c2VySWQiOiI1NDg0MjQ1NDQifQ==</vt:lpwstr>
  </property>
</Properties>
</file>