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napToGrid w:val="0"/>
        <w:jc w:val="center"/>
        <w:rPr>
          <w:rFonts w:ascii="Times New Roman" w:hAnsi="Times New Roman" w:eastAsia="黑体" w:cs="Times New Roman"/>
          <w:b/>
          <w:bCs/>
          <w:spacing w:val="80"/>
          <w:sz w:val="48"/>
          <w:szCs w:val="48"/>
        </w:rPr>
      </w:pPr>
    </w:p>
    <w:p>
      <w:pPr>
        <w:rPr>
          <w:sz w:val="44"/>
          <w:szCs w:val="44"/>
        </w:rPr>
      </w:pPr>
    </w:p>
    <w:p>
      <w:pPr>
        <w:spacing w:line="680" w:lineRule="exact"/>
        <w:jc w:val="center"/>
        <w:rPr>
          <w:sz w:val="52"/>
          <w:szCs w:val="52"/>
        </w:rPr>
      </w:pPr>
      <w:r>
        <w:rPr>
          <w:sz w:val="52"/>
          <w:szCs w:val="52"/>
        </w:rPr>
        <w:t xml:space="preserve">常州环保服务有限公司 </w:t>
      </w:r>
    </w:p>
    <w:p>
      <w:pPr>
        <w:spacing w:line="680" w:lineRule="exact"/>
        <w:jc w:val="center"/>
        <w:rPr>
          <w:sz w:val="44"/>
          <w:szCs w:val="44"/>
        </w:rPr>
      </w:pPr>
    </w:p>
    <w:p>
      <w:pPr>
        <w:pStyle w:val="36"/>
        <w:rPr>
          <w:rFonts w:ascii="Times New Roman" w:cs="Times New Roman"/>
          <w:sz w:val="44"/>
          <w:szCs w:val="44"/>
        </w:rPr>
      </w:pPr>
    </w:p>
    <w:p>
      <w:pPr>
        <w:pStyle w:val="36"/>
        <w:rPr>
          <w:rFonts w:ascii="Times New Roman" w:cs="Times New Roman"/>
          <w:sz w:val="44"/>
          <w:szCs w:val="44"/>
        </w:rPr>
      </w:pPr>
    </w:p>
    <w:p>
      <w:pPr>
        <w:spacing w:line="680" w:lineRule="exact"/>
        <w:jc w:val="center"/>
        <w:rPr>
          <w:rFonts w:hint="eastAsia" w:eastAsia="宋体"/>
          <w:sz w:val="44"/>
          <w:szCs w:val="44"/>
          <w:lang w:eastAsia="zh-CN"/>
        </w:rPr>
      </w:pPr>
      <w:r>
        <w:rPr>
          <w:rFonts w:hint="eastAsia"/>
          <w:sz w:val="44"/>
          <w:szCs w:val="44"/>
          <w:lang w:eastAsia="zh-CN"/>
        </w:rPr>
        <w:t>常州市M地块土壤污染状况调查钻探服务项目（二次）</w:t>
      </w:r>
    </w:p>
    <w:p>
      <w:pPr>
        <w:spacing w:line="680" w:lineRule="exact"/>
        <w:jc w:val="center"/>
        <w:rPr>
          <w:sz w:val="44"/>
          <w:szCs w:val="44"/>
        </w:rPr>
      </w:pPr>
    </w:p>
    <w:p>
      <w:pPr>
        <w:spacing w:line="680" w:lineRule="exact"/>
        <w:jc w:val="center"/>
        <w:rPr>
          <w:sz w:val="44"/>
          <w:szCs w:val="44"/>
        </w:rPr>
      </w:pPr>
    </w:p>
    <w:p>
      <w:pPr>
        <w:spacing w:line="680" w:lineRule="exact"/>
        <w:jc w:val="center"/>
        <w:rPr>
          <w:sz w:val="44"/>
          <w:szCs w:val="44"/>
        </w:rPr>
      </w:pPr>
      <w:r>
        <w:rPr>
          <w:sz w:val="44"/>
          <w:szCs w:val="44"/>
        </w:rPr>
        <w:t>询价采购文件</w:t>
      </w:r>
    </w:p>
    <w:p>
      <w:pPr>
        <w:spacing w:line="680" w:lineRule="exact"/>
        <w:jc w:val="center"/>
        <w:rPr>
          <w:sz w:val="44"/>
          <w:szCs w:val="44"/>
        </w:rPr>
      </w:pPr>
    </w:p>
    <w:p>
      <w:pPr>
        <w:spacing w:line="680" w:lineRule="exact"/>
        <w:jc w:val="center"/>
        <w:rPr>
          <w:rFonts w:hint="eastAsia" w:eastAsia="宋体"/>
          <w:sz w:val="32"/>
          <w:szCs w:val="32"/>
          <w:lang w:eastAsia="zh-CN"/>
        </w:rPr>
      </w:pPr>
      <w:r>
        <w:rPr>
          <w:sz w:val="32"/>
          <w:szCs w:val="32"/>
        </w:rPr>
        <w:t>项目编号：</w:t>
      </w:r>
      <w:r>
        <w:rPr>
          <w:rFonts w:hint="eastAsia"/>
          <w:sz w:val="32"/>
          <w:szCs w:val="32"/>
          <w:lang w:eastAsia="zh-CN"/>
        </w:rPr>
        <w:t xml:space="preserve">恒卓采询（2023）008号 </w:t>
      </w:r>
    </w:p>
    <w:p>
      <w:pPr>
        <w:spacing w:line="680" w:lineRule="exact"/>
        <w:jc w:val="center"/>
        <w:rPr>
          <w:sz w:val="44"/>
          <w:szCs w:val="44"/>
        </w:rPr>
      </w:pPr>
    </w:p>
    <w:p>
      <w:pPr>
        <w:spacing w:line="680" w:lineRule="exact"/>
        <w:jc w:val="center"/>
        <w:rPr>
          <w:sz w:val="44"/>
          <w:szCs w:val="44"/>
        </w:rPr>
      </w:pPr>
    </w:p>
    <w:p>
      <w:pPr>
        <w:spacing w:line="680" w:lineRule="exact"/>
        <w:rPr>
          <w:sz w:val="44"/>
          <w:szCs w:val="44"/>
        </w:rPr>
      </w:pPr>
    </w:p>
    <w:p>
      <w:pPr>
        <w:spacing w:line="480" w:lineRule="exact"/>
        <w:ind w:firstLine="750" w:firstLineChars="250"/>
        <w:rPr>
          <w:sz w:val="30"/>
          <w:szCs w:val="30"/>
        </w:rPr>
      </w:pPr>
    </w:p>
    <w:p>
      <w:pPr>
        <w:spacing w:line="480" w:lineRule="exact"/>
        <w:rPr>
          <w:sz w:val="36"/>
          <w:szCs w:val="36"/>
        </w:rPr>
      </w:pPr>
      <w:r>
        <w:rPr>
          <w:spacing w:val="10"/>
          <w:sz w:val="36"/>
          <w:szCs w:val="36"/>
        </w:rPr>
        <w:t>采</w:t>
      </w:r>
      <w:r>
        <w:rPr>
          <w:sz w:val="36"/>
          <w:szCs w:val="36"/>
        </w:rPr>
        <w:t xml:space="preserve">购单位：常州环保服务有限公司 </w:t>
      </w:r>
    </w:p>
    <w:p>
      <w:pPr>
        <w:spacing w:line="480" w:lineRule="exact"/>
        <w:rPr>
          <w:sz w:val="36"/>
          <w:szCs w:val="36"/>
        </w:rPr>
      </w:pPr>
    </w:p>
    <w:p>
      <w:pPr>
        <w:spacing w:line="480" w:lineRule="exact"/>
        <w:rPr>
          <w:sz w:val="36"/>
          <w:szCs w:val="36"/>
        </w:rPr>
      </w:pPr>
      <w:r>
        <w:rPr>
          <w:sz w:val="36"/>
          <w:szCs w:val="36"/>
        </w:rPr>
        <w:t>采购代理机构：常州市恒卓建设工程管理咨询有限公司</w:t>
      </w:r>
    </w:p>
    <w:p>
      <w:pPr>
        <w:jc w:val="center"/>
        <w:rPr>
          <w:sz w:val="36"/>
          <w:szCs w:val="36"/>
        </w:rPr>
      </w:pPr>
    </w:p>
    <w:p>
      <w:pPr>
        <w:jc w:val="center"/>
        <w:rPr>
          <w:sz w:val="44"/>
          <w:szCs w:val="44"/>
        </w:rPr>
      </w:pPr>
    </w:p>
    <w:p>
      <w:pPr>
        <w:jc w:val="center"/>
        <w:rPr>
          <w:w w:val="90"/>
          <w:sz w:val="44"/>
          <w:szCs w:val="44"/>
        </w:rPr>
      </w:pPr>
      <w:r>
        <w:rPr>
          <w:w w:val="90"/>
          <w:sz w:val="44"/>
          <w:szCs w:val="44"/>
        </w:rPr>
        <w:t>二〇二三年十</w:t>
      </w:r>
      <w:r>
        <w:rPr>
          <w:rFonts w:hint="eastAsia"/>
          <w:w w:val="90"/>
          <w:sz w:val="44"/>
          <w:szCs w:val="44"/>
          <w:lang w:val="en-US" w:eastAsia="zh-CN"/>
        </w:rPr>
        <w:t>一</w:t>
      </w:r>
      <w:r>
        <w:rPr>
          <w:w w:val="90"/>
          <w:sz w:val="44"/>
          <w:szCs w:val="44"/>
        </w:rPr>
        <w:t>月</w:t>
      </w:r>
    </w:p>
    <w:p>
      <w:pPr>
        <w:jc w:val="center"/>
        <w:rPr>
          <w:b/>
          <w:bCs/>
          <w:sz w:val="24"/>
        </w:rPr>
      </w:pPr>
    </w:p>
    <w:p>
      <w:pPr>
        <w:spacing w:line="360" w:lineRule="auto"/>
        <w:jc w:val="center"/>
        <w:rPr>
          <w:sz w:val="32"/>
          <w:szCs w:val="32"/>
        </w:rPr>
      </w:pPr>
      <w:r>
        <w:rPr>
          <w:rFonts w:hint="eastAsia"/>
          <w:b/>
          <w:bCs/>
          <w:sz w:val="32"/>
          <w:szCs w:val="32"/>
          <w:lang w:eastAsia="zh-CN"/>
        </w:rPr>
        <w:t>常州市M地块土壤污染状况调查钻探服务项目（二次）</w:t>
      </w:r>
      <w:r>
        <w:rPr>
          <w:b/>
          <w:bCs/>
          <w:sz w:val="32"/>
          <w:szCs w:val="32"/>
        </w:rPr>
        <w:t>询价公告</w:t>
      </w:r>
    </w:p>
    <w:p>
      <w:pPr>
        <w:spacing w:line="440" w:lineRule="exact"/>
        <w:ind w:firstLine="420" w:firstLineChars="200"/>
      </w:pPr>
      <w:r>
        <w:t>受常州环保服务有限公司的委托，对其</w:t>
      </w:r>
      <w:r>
        <w:rPr>
          <w:rFonts w:hint="eastAsia"/>
          <w:lang w:eastAsia="zh-CN"/>
        </w:rPr>
        <w:t>常州市M地块土壤污染状况调查钻探服务项目（二次）</w:t>
      </w:r>
      <w:r>
        <w:t>进行询价采购。特邀请符合条件的供应商参加。</w:t>
      </w:r>
    </w:p>
    <w:p>
      <w:pPr>
        <w:widowControl/>
        <w:snapToGrid w:val="0"/>
        <w:spacing w:line="440" w:lineRule="exact"/>
        <w:ind w:firstLine="420" w:firstLineChars="200"/>
        <w:jc w:val="left"/>
        <w:rPr>
          <w:kern w:val="0"/>
          <w:szCs w:val="21"/>
        </w:rPr>
      </w:pPr>
      <w:r>
        <w:rPr>
          <w:kern w:val="0"/>
          <w:szCs w:val="21"/>
        </w:rPr>
        <w:t>一、采购项目内容及技术要求</w:t>
      </w:r>
    </w:p>
    <w:p>
      <w:pPr>
        <w:spacing w:line="440" w:lineRule="exact"/>
        <w:ind w:firstLine="420" w:firstLineChars="200"/>
        <w:rPr>
          <w:rFonts w:hint="eastAsia" w:eastAsia="宋体"/>
          <w:lang w:eastAsia="zh-CN"/>
        </w:rPr>
      </w:pPr>
      <w:r>
        <w:t>1、项目编号：</w:t>
      </w:r>
      <w:r>
        <w:rPr>
          <w:rFonts w:hint="eastAsia"/>
          <w:lang w:eastAsia="zh-CN"/>
        </w:rPr>
        <w:t>恒卓采询（2023）008号</w:t>
      </w:r>
    </w:p>
    <w:p>
      <w:pPr>
        <w:spacing w:line="440" w:lineRule="exact"/>
        <w:ind w:firstLine="420" w:firstLineChars="200"/>
        <w:rPr>
          <w:rFonts w:hint="eastAsia" w:eastAsia="宋体"/>
          <w:lang w:eastAsia="zh-CN"/>
        </w:rPr>
      </w:pPr>
      <w:r>
        <w:t>2、项目名称：</w:t>
      </w:r>
      <w:r>
        <w:rPr>
          <w:rFonts w:hint="eastAsia"/>
          <w:lang w:eastAsia="zh-CN"/>
        </w:rPr>
        <w:t>常州市M地块土壤污染状况调查钻探服务项目（二次）</w:t>
      </w:r>
    </w:p>
    <w:p>
      <w:pPr>
        <w:spacing w:line="440" w:lineRule="exact"/>
        <w:ind w:firstLine="420" w:firstLineChars="200"/>
      </w:pPr>
      <w:r>
        <w:t>3、采购预算：212100元</w:t>
      </w:r>
    </w:p>
    <w:p>
      <w:pPr>
        <w:spacing w:line="440" w:lineRule="exact"/>
        <w:ind w:firstLine="420" w:firstLineChars="200"/>
      </w:pPr>
      <w:r>
        <w:t>4、项目内容：本项目为</w:t>
      </w:r>
      <w:r>
        <w:rPr>
          <w:rFonts w:hint="eastAsia"/>
          <w:lang w:eastAsia="zh-CN"/>
        </w:rPr>
        <w:t>常州市M地块土壤污染状况调查钻探服务项目（二次）</w:t>
      </w:r>
      <w:r>
        <w:t>，包括但不限于基本技术要求范围内相应项目开工前的准备（包括现场踏勘、技术核对等）、技术资料、施工、技术服务、项目建设单位验收、质保期及维保服务和技术文件所要求的相关工程等全部内容。具体详见清单。</w:t>
      </w:r>
    </w:p>
    <w:p>
      <w:pPr>
        <w:spacing w:line="440" w:lineRule="exact"/>
        <w:ind w:firstLine="420" w:firstLineChars="200"/>
      </w:pPr>
      <w:r>
        <w:t>5、服务期限：项目合同签订之日起至项目全部完成，且项目通过专家评审。</w:t>
      </w:r>
    </w:p>
    <w:p>
      <w:pPr>
        <w:numPr>
          <w:ilvl w:val="0"/>
          <w:numId w:val="1"/>
        </w:numPr>
        <w:spacing w:line="440" w:lineRule="exact"/>
        <w:ind w:firstLine="420" w:firstLineChars="200"/>
        <w:jc w:val="left"/>
        <w:rPr>
          <w:szCs w:val="21"/>
        </w:rPr>
      </w:pPr>
      <w:r>
        <w:rPr>
          <w:szCs w:val="21"/>
        </w:rPr>
        <w:t>对供应商的基本要求：</w:t>
      </w:r>
    </w:p>
    <w:p>
      <w:pPr>
        <w:spacing w:line="440" w:lineRule="exact"/>
        <w:ind w:firstLine="420" w:firstLineChars="200"/>
        <w:jc w:val="left"/>
        <w:rPr>
          <w:szCs w:val="21"/>
        </w:rPr>
      </w:pPr>
      <w:r>
        <w:rPr>
          <w:szCs w:val="21"/>
        </w:rPr>
        <w:t>1、具备《中华人民共和国政府采购法》第二十二条规定条件的法人；</w:t>
      </w:r>
    </w:p>
    <w:p>
      <w:pPr>
        <w:spacing w:line="440" w:lineRule="exact"/>
        <w:ind w:firstLine="420" w:firstLineChars="200"/>
      </w:pPr>
      <w:r>
        <w:rPr>
          <w:szCs w:val="21"/>
        </w:rPr>
        <w:t>2、单位负责人为同一人或者存在直接控股、管理关系的不同供应商，不得参加同一合同项下</w:t>
      </w:r>
      <w:r>
        <w:t>的政府采购活动；</w:t>
      </w:r>
    </w:p>
    <w:p>
      <w:pPr>
        <w:spacing w:line="440" w:lineRule="exact"/>
        <w:ind w:firstLine="420" w:firstLineChars="200"/>
        <w:jc w:val="left"/>
        <w:rPr>
          <w:szCs w:val="21"/>
        </w:rPr>
      </w:pPr>
      <w:r>
        <w:rPr>
          <w:szCs w:val="21"/>
        </w:rPr>
        <w:t>3、具有营业执照副本</w:t>
      </w:r>
    </w:p>
    <w:p>
      <w:pPr>
        <w:spacing w:line="440" w:lineRule="exact"/>
        <w:ind w:firstLine="420" w:firstLineChars="200"/>
        <w:jc w:val="left"/>
        <w:rPr>
          <w:szCs w:val="21"/>
        </w:rPr>
      </w:pPr>
      <w:r>
        <w:rPr>
          <w:szCs w:val="21"/>
        </w:rPr>
        <w:t>4、采购人根据采购项目的特殊要求规定的特定条件：</w:t>
      </w:r>
    </w:p>
    <w:p>
      <w:pPr>
        <w:spacing w:line="440" w:lineRule="exact"/>
        <w:ind w:firstLine="420" w:firstLineChars="200"/>
        <w:jc w:val="left"/>
        <w:rPr>
          <w:szCs w:val="21"/>
        </w:rPr>
      </w:pPr>
      <w:r>
        <w:rPr>
          <w:szCs w:val="21"/>
        </w:rPr>
        <w:t>（1）</w:t>
      </w:r>
      <w:r>
        <w:t>投标人须在近3年承担过至少2个土壤污染状况调查钻探同类项目</w:t>
      </w:r>
      <w:r>
        <w:rPr>
          <w:b/>
          <w:bCs/>
        </w:rPr>
        <w:t>（提供合同复印件，时间以合同签订时间为准）</w:t>
      </w:r>
      <w:r>
        <w:rPr>
          <w:szCs w:val="21"/>
        </w:rPr>
        <w:t>；</w:t>
      </w:r>
    </w:p>
    <w:p>
      <w:pPr>
        <w:spacing w:line="440" w:lineRule="exact"/>
        <w:ind w:firstLine="420" w:firstLineChars="200"/>
        <w:jc w:val="left"/>
        <w:rPr>
          <w:szCs w:val="21"/>
        </w:rPr>
      </w:pPr>
      <w:r>
        <w:rPr>
          <w:szCs w:val="21"/>
        </w:rPr>
        <w:t>（2）</w:t>
      </w:r>
      <w:r>
        <w:t>投标人具有至少包含4台GP钻机</w:t>
      </w:r>
      <w:r>
        <w:rPr>
          <w:rFonts w:hint="eastAsia"/>
        </w:rPr>
        <w:t>（专业钻探设备）</w:t>
      </w:r>
      <w:r>
        <w:t>，并提供设备购买发票复印件</w:t>
      </w:r>
      <w:r>
        <w:rPr>
          <w:szCs w:val="21"/>
        </w:rPr>
        <w:t>；</w:t>
      </w:r>
    </w:p>
    <w:p>
      <w:pPr>
        <w:spacing w:line="440" w:lineRule="exact"/>
        <w:ind w:firstLine="420" w:firstLineChars="200"/>
        <w:jc w:val="left"/>
        <w:rPr>
          <w:szCs w:val="21"/>
        </w:rPr>
      </w:pPr>
      <w:r>
        <w:rPr>
          <w:szCs w:val="21"/>
        </w:rPr>
        <w:t>（3）未被“信用中国”网站（www.creditchina.gov.cn）列入失信被执行人、重大税收违法案件当事人名单、严重失信行为记录名单。</w:t>
      </w:r>
    </w:p>
    <w:p>
      <w:pPr>
        <w:spacing w:line="440" w:lineRule="exact"/>
        <w:ind w:firstLine="422" w:firstLineChars="200"/>
        <w:jc w:val="left"/>
        <w:rPr>
          <w:b/>
          <w:bCs/>
          <w:szCs w:val="21"/>
        </w:rPr>
      </w:pPr>
      <w:r>
        <w:rPr>
          <w:b/>
          <w:bCs/>
          <w:szCs w:val="21"/>
        </w:rPr>
        <w:t>5、本项目不接受联合体投标。</w:t>
      </w:r>
    </w:p>
    <w:p>
      <w:pPr>
        <w:spacing w:line="440" w:lineRule="exact"/>
        <w:ind w:firstLine="420" w:firstLineChars="200"/>
        <w:jc w:val="left"/>
        <w:rPr>
          <w:szCs w:val="21"/>
        </w:rPr>
      </w:pPr>
      <w:r>
        <w:rPr>
          <w:szCs w:val="21"/>
        </w:rPr>
        <w:t>三、获取询价文件的时间和办法</w:t>
      </w:r>
    </w:p>
    <w:p>
      <w:pPr>
        <w:spacing w:line="440" w:lineRule="exact"/>
        <w:ind w:firstLine="420" w:firstLineChars="200"/>
        <w:rPr>
          <w:b/>
          <w:bCs/>
          <w:szCs w:val="21"/>
        </w:rPr>
      </w:pPr>
      <w:r>
        <w:rPr>
          <w:szCs w:val="21"/>
        </w:rPr>
        <w:t>1、询价文件获取时间：</w:t>
      </w:r>
      <w:r>
        <w:rPr>
          <w:b/>
          <w:bCs/>
          <w:szCs w:val="21"/>
        </w:rPr>
        <w:t>2023年</w:t>
      </w:r>
      <w:r>
        <w:rPr>
          <w:rFonts w:hint="eastAsia"/>
          <w:b/>
          <w:bCs/>
          <w:szCs w:val="21"/>
        </w:rPr>
        <w:t>1</w:t>
      </w:r>
      <w:r>
        <w:rPr>
          <w:rFonts w:hint="eastAsia"/>
          <w:b/>
          <w:bCs/>
          <w:szCs w:val="21"/>
          <w:lang w:val="en-US" w:eastAsia="zh-CN"/>
        </w:rPr>
        <w:t>1</w:t>
      </w:r>
      <w:r>
        <w:rPr>
          <w:b/>
          <w:bCs/>
          <w:szCs w:val="21"/>
        </w:rPr>
        <w:t>月</w:t>
      </w:r>
      <w:r>
        <w:rPr>
          <w:rFonts w:hint="eastAsia"/>
          <w:b/>
          <w:bCs/>
          <w:szCs w:val="21"/>
          <w:lang w:val="en-US" w:eastAsia="zh-CN"/>
        </w:rPr>
        <w:t>06</w:t>
      </w:r>
      <w:r>
        <w:rPr>
          <w:b/>
          <w:bCs/>
          <w:szCs w:val="21"/>
        </w:rPr>
        <w:t>日</w:t>
      </w:r>
      <w:r>
        <w:rPr>
          <w:rFonts w:hint="eastAsia"/>
          <w:b/>
          <w:bCs/>
          <w:szCs w:val="21"/>
        </w:rPr>
        <w:t>起</w:t>
      </w:r>
    </w:p>
    <w:p>
      <w:pPr>
        <w:spacing w:line="440" w:lineRule="exact"/>
        <w:ind w:firstLine="422" w:firstLineChars="200"/>
        <w:jc w:val="left"/>
        <w:rPr>
          <w:rFonts w:hint="eastAsia"/>
          <w:b/>
          <w:bCs/>
          <w:szCs w:val="21"/>
        </w:rPr>
      </w:pPr>
      <w:r>
        <w:rPr>
          <w:b/>
          <w:bCs/>
          <w:szCs w:val="21"/>
        </w:rPr>
        <w:t>2、询价文件售价：人民币伍佰圆整</w:t>
      </w:r>
      <w:r>
        <w:rPr>
          <w:rFonts w:hint="eastAsia"/>
          <w:b/>
          <w:bCs/>
          <w:szCs w:val="21"/>
        </w:rPr>
        <w:t>（开标现场缴纳</w:t>
      </w:r>
      <w:r>
        <w:rPr>
          <w:rFonts w:hint="eastAsia"/>
          <w:b/>
          <w:bCs/>
          <w:szCs w:val="21"/>
          <w:lang w:eastAsia="zh-CN"/>
        </w:rPr>
        <w:t>，</w:t>
      </w:r>
      <w:r>
        <w:rPr>
          <w:rFonts w:hint="eastAsia"/>
          <w:b/>
          <w:bCs/>
          <w:szCs w:val="21"/>
        </w:rPr>
        <w:t>询价文件自行下载）</w:t>
      </w:r>
    </w:p>
    <w:p>
      <w:pPr>
        <w:spacing w:line="440" w:lineRule="exact"/>
        <w:ind w:firstLine="420" w:firstLineChars="200"/>
        <w:rPr>
          <w:szCs w:val="21"/>
        </w:rPr>
      </w:pPr>
      <w:r>
        <w:rPr>
          <w:szCs w:val="21"/>
        </w:rPr>
        <w:t>四、现场踏勘：自行踏勘    联系人及电话：   郑工；15240534409</w:t>
      </w:r>
    </w:p>
    <w:p>
      <w:pPr>
        <w:spacing w:line="440" w:lineRule="exact"/>
        <w:ind w:firstLine="420" w:firstLineChars="200"/>
        <w:rPr>
          <w:szCs w:val="21"/>
        </w:rPr>
      </w:pPr>
      <w:r>
        <w:rPr>
          <w:szCs w:val="21"/>
        </w:rPr>
        <w:t>五、投标保证金</w:t>
      </w:r>
    </w:p>
    <w:p>
      <w:pPr>
        <w:spacing w:line="440" w:lineRule="exact"/>
        <w:ind w:firstLine="420" w:firstLineChars="200"/>
        <w:rPr>
          <w:b/>
          <w:bCs/>
        </w:rPr>
      </w:pPr>
      <w:r>
        <w:t>投标保证金数额：</w:t>
      </w:r>
      <w:r>
        <w:rPr>
          <w:b/>
          <w:bCs/>
        </w:rPr>
        <w:t>人民币肆仟圆整</w:t>
      </w:r>
    </w:p>
    <w:p>
      <w:pPr>
        <w:spacing w:line="440" w:lineRule="exact"/>
        <w:ind w:firstLine="420" w:firstLineChars="200"/>
      </w:pPr>
      <w:r>
        <w:t>收款单位：常州市恒卓建设工程管理咨询有限公司</w:t>
      </w:r>
    </w:p>
    <w:p>
      <w:pPr>
        <w:spacing w:line="440" w:lineRule="exact"/>
        <w:ind w:firstLine="420" w:firstLineChars="200"/>
      </w:pPr>
      <w:r>
        <w:t>开户银行：江苏江南农村商业银行股份有限公司常州市青龙支行</w:t>
      </w:r>
    </w:p>
    <w:p>
      <w:pPr>
        <w:spacing w:line="440" w:lineRule="exact"/>
        <w:ind w:firstLine="420" w:firstLineChars="200"/>
      </w:pPr>
      <w:r>
        <w:t>账号：89801116012010000004083</w:t>
      </w:r>
    </w:p>
    <w:p>
      <w:pPr>
        <w:spacing w:line="440" w:lineRule="exact"/>
        <w:ind w:firstLine="422" w:firstLineChars="200"/>
        <w:rPr>
          <w:b/>
          <w:bCs/>
        </w:rPr>
      </w:pPr>
      <w:r>
        <w:rPr>
          <w:b/>
          <w:bCs/>
        </w:rPr>
        <w:t>投标保证金到账截止日期：2023年</w:t>
      </w:r>
      <w:r>
        <w:rPr>
          <w:rFonts w:hint="eastAsia"/>
          <w:b/>
          <w:bCs/>
        </w:rPr>
        <w:t>1</w:t>
      </w:r>
      <w:r>
        <w:rPr>
          <w:rFonts w:hint="eastAsia"/>
          <w:b/>
          <w:bCs/>
          <w:lang w:val="en-US" w:eastAsia="zh-CN"/>
        </w:rPr>
        <w:t>1</w:t>
      </w:r>
      <w:r>
        <w:rPr>
          <w:b/>
          <w:bCs/>
        </w:rPr>
        <w:t>月</w:t>
      </w:r>
      <w:r>
        <w:rPr>
          <w:rFonts w:hint="eastAsia"/>
          <w:b/>
          <w:bCs/>
          <w:lang w:val="en-US" w:eastAsia="zh-CN"/>
        </w:rPr>
        <w:t>09</w:t>
      </w:r>
      <w:r>
        <w:rPr>
          <w:b/>
          <w:bCs/>
        </w:rPr>
        <w:t xml:space="preserve"> 日1</w:t>
      </w:r>
      <w:r>
        <w:rPr>
          <w:rFonts w:hint="eastAsia"/>
          <w:b/>
          <w:bCs/>
          <w:lang w:val="en-US" w:eastAsia="zh-CN"/>
        </w:rPr>
        <w:t>7</w:t>
      </w:r>
      <w:r>
        <w:rPr>
          <w:b/>
          <w:bCs/>
        </w:rPr>
        <w:t>：00（以代理机构网银到账时间为准）</w:t>
      </w:r>
    </w:p>
    <w:p>
      <w:pPr>
        <w:spacing w:line="440" w:lineRule="exact"/>
        <w:ind w:firstLine="420" w:firstLineChars="200"/>
      </w:pPr>
      <w:r>
        <w:t>投标保证金交纳方式：银行电汇或转账</w:t>
      </w:r>
      <w:r>
        <w:rPr>
          <w:b/>
          <w:bCs/>
        </w:rPr>
        <w:t>（备注项目编号）</w:t>
      </w:r>
    </w:p>
    <w:p>
      <w:pPr>
        <w:spacing w:line="440" w:lineRule="exact"/>
        <w:ind w:firstLine="420" w:firstLineChars="200"/>
      </w:pPr>
      <w:r>
        <w:t>*投标单位必须自行将投标保证金从公司账户按规定方式和时间缴至上述指定账户并到账，拒绝以其它方式缴纳，禁止第三方代缴保证金，否则将被视为无效响应，其投标文件将被拒绝。</w:t>
      </w:r>
    </w:p>
    <w:p>
      <w:pPr>
        <w:spacing w:line="440" w:lineRule="exact"/>
        <w:ind w:firstLine="420" w:firstLineChars="200"/>
      </w:pPr>
      <w:r>
        <w:rPr>
          <w:szCs w:val="21"/>
        </w:rPr>
        <w:t xml:space="preserve">六、参加询价的供应商若认为询价函的资格要求和技术要求有倾向性或不公正性，可在 </w:t>
      </w:r>
      <w:r>
        <w:rPr>
          <w:b/>
          <w:szCs w:val="21"/>
        </w:rPr>
        <w:t>2023年</w:t>
      </w:r>
      <w:r>
        <w:rPr>
          <w:rFonts w:hint="eastAsia"/>
          <w:b/>
          <w:szCs w:val="21"/>
        </w:rPr>
        <w:t>1</w:t>
      </w:r>
      <w:r>
        <w:rPr>
          <w:rFonts w:hint="eastAsia"/>
          <w:b/>
          <w:szCs w:val="21"/>
          <w:lang w:val="en-US" w:eastAsia="zh-CN"/>
        </w:rPr>
        <w:t>1</w:t>
      </w:r>
      <w:r>
        <w:rPr>
          <w:b/>
          <w:szCs w:val="21"/>
        </w:rPr>
        <w:t>月</w:t>
      </w:r>
      <w:r>
        <w:rPr>
          <w:rFonts w:hint="eastAsia"/>
          <w:b/>
          <w:szCs w:val="21"/>
          <w:lang w:val="en-US" w:eastAsia="zh-CN"/>
        </w:rPr>
        <w:t>09</w:t>
      </w:r>
      <w:r>
        <w:rPr>
          <w:b/>
          <w:szCs w:val="21"/>
        </w:rPr>
        <w:t>日</w:t>
      </w:r>
      <w:r>
        <w:rPr>
          <w:rFonts w:hint="eastAsia"/>
          <w:b/>
          <w:szCs w:val="21"/>
          <w:lang w:val="en-US" w:eastAsia="zh-CN"/>
        </w:rPr>
        <w:t>11</w:t>
      </w:r>
      <w:r>
        <w:rPr>
          <w:b/>
          <w:szCs w:val="21"/>
        </w:rPr>
        <w:t>：30</w:t>
      </w:r>
      <w:r>
        <w:rPr>
          <w:szCs w:val="21"/>
        </w:rPr>
        <w:t>之前以书面形式或邮件形式</w:t>
      </w:r>
      <w:r>
        <w:rPr>
          <w:b/>
          <w:bCs/>
          <w:szCs w:val="21"/>
        </w:rPr>
        <w:t>（994093050@qq.com）</w:t>
      </w:r>
      <w:r>
        <w:rPr>
          <w:szCs w:val="21"/>
        </w:rPr>
        <w:t>向我公司提出。对于没有提出澄清要求又参与了该项目的供应商将被视为完全认同该询价函，询价响应文件递交截止期后不再受理针对询价函的相关质疑和投诉。</w:t>
      </w:r>
    </w:p>
    <w:p>
      <w:pPr>
        <w:spacing w:line="440" w:lineRule="exact"/>
        <w:ind w:left="420" w:leftChars="200"/>
        <w:rPr>
          <w:b/>
          <w:bCs/>
        </w:rPr>
      </w:pPr>
      <w:r>
        <w:rPr>
          <w:szCs w:val="21"/>
        </w:rPr>
        <w:t>七、开标时间：</w:t>
      </w:r>
      <w:r>
        <w:rPr>
          <w:b/>
          <w:bCs/>
        </w:rPr>
        <w:t>2023年</w:t>
      </w:r>
      <w:r>
        <w:rPr>
          <w:rFonts w:hint="eastAsia"/>
          <w:b/>
          <w:bCs/>
        </w:rPr>
        <w:t>1</w:t>
      </w:r>
      <w:r>
        <w:rPr>
          <w:rFonts w:hint="eastAsia"/>
          <w:b/>
          <w:bCs/>
          <w:lang w:val="en-US" w:eastAsia="zh-CN"/>
        </w:rPr>
        <w:t>1</w:t>
      </w:r>
      <w:r>
        <w:rPr>
          <w:b/>
          <w:bCs/>
        </w:rPr>
        <w:t xml:space="preserve">月 </w:t>
      </w:r>
      <w:r>
        <w:rPr>
          <w:rFonts w:hint="eastAsia"/>
          <w:b/>
          <w:bCs/>
          <w:lang w:val="en-US" w:eastAsia="zh-CN"/>
        </w:rPr>
        <w:t>1</w:t>
      </w:r>
      <w:r>
        <w:rPr>
          <w:rFonts w:hint="eastAsia"/>
          <w:b/>
          <w:bCs/>
        </w:rPr>
        <w:t>0</w:t>
      </w:r>
      <w:r>
        <w:rPr>
          <w:b/>
          <w:bCs/>
        </w:rPr>
        <w:t>日</w:t>
      </w:r>
      <w:r>
        <w:rPr>
          <w:rFonts w:hint="eastAsia"/>
          <w:b/>
          <w:bCs/>
          <w:lang w:val="en-US" w:eastAsia="zh-CN"/>
        </w:rPr>
        <w:t>09</w:t>
      </w:r>
      <w:r>
        <w:rPr>
          <w:b/>
          <w:bCs/>
        </w:rPr>
        <w:t>：</w:t>
      </w:r>
      <w:r>
        <w:rPr>
          <w:rFonts w:hint="eastAsia"/>
          <w:b/>
          <w:bCs/>
          <w:lang w:val="en-US" w:eastAsia="zh-CN"/>
        </w:rPr>
        <w:t>3</w:t>
      </w:r>
      <w:r>
        <w:rPr>
          <w:rFonts w:hint="eastAsia"/>
          <w:b/>
          <w:bCs/>
        </w:rPr>
        <w:t>0</w:t>
      </w:r>
    </w:p>
    <w:p>
      <w:pPr>
        <w:spacing w:line="440" w:lineRule="exact"/>
        <w:ind w:left="420" w:leftChars="200"/>
        <w:rPr>
          <w:szCs w:val="21"/>
        </w:rPr>
      </w:pPr>
      <w:r>
        <w:rPr>
          <w:szCs w:val="21"/>
        </w:rPr>
        <w:t>八、询价地点：常州市北塘河路8号恒生科技园44-2栋3楼（一号大门往北一百米）　</w:t>
      </w:r>
    </w:p>
    <w:p>
      <w:pPr>
        <w:spacing w:line="440" w:lineRule="exact"/>
        <w:ind w:firstLine="420" w:firstLineChars="200"/>
        <w:rPr>
          <w:szCs w:val="21"/>
        </w:rPr>
      </w:pPr>
      <w:r>
        <w:rPr>
          <w:szCs w:val="21"/>
        </w:rPr>
        <w:t>九、询价文件售后一概不退。供应商递交的询价文件概不退还。</w:t>
      </w:r>
    </w:p>
    <w:p>
      <w:pPr>
        <w:spacing w:line="440" w:lineRule="exact"/>
        <w:ind w:firstLine="420" w:firstLineChars="200"/>
        <w:rPr>
          <w:szCs w:val="21"/>
        </w:rPr>
      </w:pPr>
      <w:r>
        <w:rPr>
          <w:szCs w:val="21"/>
        </w:rPr>
        <w:t>十、联系方式</w:t>
      </w:r>
    </w:p>
    <w:p>
      <w:pPr>
        <w:spacing w:line="440" w:lineRule="exact"/>
        <w:ind w:firstLine="420" w:firstLineChars="200"/>
        <w:rPr>
          <w:szCs w:val="21"/>
        </w:rPr>
      </w:pPr>
      <w:r>
        <w:rPr>
          <w:szCs w:val="21"/>
        </w:rPr>
        <w:t>联系人：曹工                            联系电话：</w:t>
      </w:r>
      <w:r>
        <w:rPr>
          <w:color w:val="000000"/>
          <w:kern w:val="0"/>
          <w:szCs w:val="21"/>
          <w:shd w:val="clear" w:color="auto" w:fill="FFFFFF"/>
          <w:lang w:bidi="ar"/>
        </w:rPr>
        <w:t>0519-83999268</w:t>
      </w:r>
    </w:p>
    <w:p>
      <w:pPr>
        <w:spacing w:line="440" w:lineRule="exact"/>
        <w:ind w:firstLine="420" w:firstLineChars="200"/>
        <w:rPr>
          <w:szCs w:val="21"/>
        </w:rPr>
      </w:pPr>
      <w:r>
        <w:rPr>
          <w:szCs w:val="21"/>
        </w:rPr>
        <w:t>联系地址：常州市恒卓建设工程管理咨询有限公司综合办</w:t>
      </w:r>
    </w:p>
    <w:p>
      <w:pPr>
        <w:spacing w:line="440" w:lineRule="exact"/>
        <w:ind w:firstLine="420" w:firstLineChars="200"/>
        <w:rPr>
          <w:szCs w:val="21"/>
        </w:rPr>
      </w:pPr>
      <w:r>
        <w:rPr>
          <w:szCs w:val="21"/>
        </w:rPr>
        <w:t>网    址：http://www.czhzzb.com         邮    箱：czhzzb@126.com</w:t>
      </w:r>
    </w:p>
    <w:p>
      <w:pPr>
        <w:spacing w:line="440" w:lineRule="exact"/>
        <w:ind w:right="360" w:firstLine="420" w:firstLineChars="200"/>
        <w:jc w:val="left"/>
        <w:rPr>
          <w:szCs w:val="21"/>
        </w:rPr>
      </w:pPr>
    </w:p>
    <w:p>
      <w:pPr>
        <w:spacing w:line="440" w:lineRule="exact"/>
        <w:ind w:right="360"/>
        <w:jc w:val="right"/>
        <w:rPr>
          <w:szCs w:val="21"/>
        </w:rPr>
      </w:pPr>
      <w:r>
        <w:rPr>
          <w:szCs w:val="21"/>
        </w:rPr>
        <w:t>常州市恒卓建设工程管理咨询有限公司</w:t>
      </w:r>
    </w:p>
    <w:p>
      <w:pPr>
        <w:spacing w:line="440" w:lineRule="exact"/>
        <w:ind w:right="360"/>
        <w:jc w:val="right"/>
        <w:rPr>
          <w:szCs w:val="21"/>
        </w:rPr>
      </w:pPr>
    </w:p>
    <w:p>
      <w:pPr>
        <w:spacing w:line="440" w:lineRule="exact"/>
        <w:ind w:right="360"/>
        <w:jc w:val="right"/>
        <w:rPr>
          <w:szCs w:val="21"/>
        </w:rPr>
      </w:pPr>
      <w:r>
        <w:rPr>
          <w:szCs w:val="21"/>
        </w:rPr>
        <w:t>2023年</w:t>
      </w:r>
      <w:r>
        <w:rPr>
          <w:rFonts w:hint="eastAsia"/>
          <w:szCs w:val="21"/>
        </w:rPr>
        <w:t>1</w:t>
      </w:r>
      <w:r>
        <w:rPr>
          <w:rFonts w:hint="eastAsia"/>
          <w:szCs w:val="21"/>
          <w:lang w:val="en-US" w:eastAsia="zh-CN"/>
        </w:rPr>
        <w:t>1</w:t>
      </w:r>
      <w:r>
        <w:rPr>
          <w:szCs w:val="21"/>
        </w:rPr>
        <w:t>月</w:t>
      </w:r>
      <w:r>
        <w:rPr>
          <w:rFonts w:hint="eastAsia"/>
          <w:szCs w:val="21"/>
          <w:lang w:val="en-US" w:eastAsia="zh-CN"/>
        </w:rPr>
        <w:t>06</w:t>
      </w:r>
      <w:r>
        <w:rPr>
          <w:szCs w:val="21"/>
        </w:rPr>
        <w:t>日</w:t>
      </w:r>
    </w:p>
    <w:p/>
    <w:p>
      <w:pPr>
        <w:pStyle w:val="10"/>
        <w:spacing w:line="380" w:lineRule="exact"/>
        <w:jc w:val="center"/>
        <w:rPr>
          <w:b/>
          <w:bCs/>
          <w:sz w:val="32"/>
          <w:szCs w:val="32"/>
        </w:rPr>
      </w:pPr>
    </w:p>
    <w:p>
      <w:pPr>
        <w:pStyle w:val="5"/>
        <w:rPr>
          <w:b/>
          <w:bCs/>
          <w:sz w:val="32"/>
          <w:szCs w:val="32"/>
        </w:rPr>
      </w:pPr>
    </w:p>
    <w:p>
      <w:pPr>
        <w:rPr>
          <w:b/>
          <w:bCs/>
          <w:sz w:val="32"/>
          <w:szCs w:val="32"/>
        </w:rPr>
      </w:pPr>
    </w:p>
    <w:p>
      <w:pPr>
        <w:pStyle w:val="2"/>
        <w:rPr>
          <w:b/>
          <w:bCs/>
          <w:sz w:val="32"/>
          <w:szCs w:val="32"/>
        </w:rPr>
      </w:pPr>
    </w:p>
    <w:p>
      <w:pPr>
        <w:rPr>
          <w:b/>
          <w:bCs/>
          <w:sz w:val="32"/>
          <w:szCs w:val="32"/>
        </w:rPr>
      </w:pPr>
    </w:p>
    <w:p>
      <w:pPr>
        <w:pStyle w:val="2"/>
        <w:rPr>
          <w:b/>
          <w:bCs/>
          <w:sz w:val="32"/>
          <w:szCs w:val="32"/>
        </w:rPr>
      </w:pPr>
    </w:p>
    <w:p>
      <w:pPr>
        <w:rPr>
          <w:b/>
          <w:bCs/>
          <w:sz w:val="32"/>
          <w:szCs w:val="32"/>
        </w:rPr>
      </w:pPr>
    </w:p>
    <w:p>
      <w:pPr>
        <w:pStyle w:val="2"/>
        <w:rPr>
          <w:b/>
          <w:bCs/>
          <w:sz w:val="32"/>
          <w:szCs w:val="32"/>
        </w:rPr>
      </w:pPr>
    </w:p>
    <w:p>
      <w:pPr>
        <w:rPr>
          <w:b/>
          <w:bCs/>
          <w:sz w:val="32"/>
          <w:szCs w:val="32"/>
        </w:rPr>
      </w:pPr>
    </w:p>
    <w:p>
      <w:pPr>
        <w:pStyle w:val="10"/>
        <w:spacing w:line="380" w:lineRule="exact"/>
        <w:jc w:val="center"/>
        <w:rPr>
          <w:rFonts w:ascii="Times New Roman" w:hAnsi="Times New Roman" w:cs="Times New Roman"/>
          <w:b/>
          <w:bCs/>
          <w:sz w:val="32"/>
          <w:szCs w:val="32"/>
        </w:rPr>
      </w:pPr>
    </w:p>
    <w:p>
      <w:pPr>
        <w:pStyle w:val="10"/>
        <w:spacing w:line="380" w:lineRule="exact"/>
        <w:jc w:val="center"/>
        <w:rPr>
          <w:rFonts w:ascii="Times New Roman" w:hAnsi="Times New Roman" w:cs="Times New Roman"/>
        </w:rPr>
      </w:pPr>
      <w:bookmarkStart w:id="51" w:name="_GoBack"/>
      <w:bookmarkEnd w:id="51"/>
      <w:r>
        <w:rPr>
          <w:rFonts w:ascii="Times New Roman" w:hAnsi="Times New Roman" w:cs="Times New Roman"/>
          <w:b/>
          <w:bCs/>
          <w:sz w:val="32"/>
          <w:szCs w:val="32"/>
        </w:rPr>
        <w:t>询价文件</w:t>
      </w:r>
    </w:p>
    <w:p>
      <w:pPr>
        <w:spacing w:line="420" w:lineRule="exact"/>
        <w:ind w:firstLine="420" w:firstLineChars="200"/>
        <w:rPr>
          <w:szCs w:val="21"/>
        </w:rPr>
      </w:pPr>
      <w:r>
        <w:rPr>
          <w:szCs w:val="21"/>
        </w:rPr>
        <w:t>受常州环保服务有限公司的委托，对其公司的</w:t>
      </w:r>
      <w:r>
        <w:rPr>
          <w:rFonts w:hint="eastAsia"/>
          <w:szCs w:val="21"/>
          <w:lang w:eastAsia="zh-CN"/>
        </w:rPr>
        <w:t>常州市M地块土壤污染状况调查钻探服务项目（二次）</w:t>
      </w:r>
      <w:r>
        <w:rPr>
          <w:szCs w:val="21"/>
        </w:rPr>
        <w:t>进行询价采购。特邀请符合条件的供应商参加。</w:t>
      </w:r>
    </w:p>
    <w:p>
      <w:pPr>
        <w:widowControl/>
        <w:snapToGrid w:val="0"/>
        <w:spacing w:line="420" w:lineRule="exact"/>
        <w:jc w:val="left"/>
        <w:rPr>
          <w:kern w:val="0"/>
          <w:szCs w:val="21"/>
        </w:rPr>
      </w:pPr>
      <w:r>
        <w:rPr>
          <w:kern w:val="0"/>
          <w:szCs w:val="21"/>
        </w:rPr>
        <w:t>一、采购项目内容及技术要求</w:t>
      </w:r>
    </w:p>
    <w:p>
      <w:pPr>
        <w:spacing w:line="420" w:lineRule="exact"/>
        <w:ind w:firstLine="420" w:firstLineChars="200"/>
        <w:jc w:val="left"/>
        <w:rPr>
          <w:rFonts w:hint="eastAsia" w:eastAsia="宋体"/>
          <w:szCs w:val="21"/>
          <w:lang w:eastAsia="zh-CN"/>
        </w:rPr>
      </w:pPr>
      <w:r>
        <w:rPr>
          <w:szCs w:val="21"/>
        </w:rPr>
        <w:t>项目编号：</w:t>
      </w:r>
      <w:r>
        <w:rPr>
          <w:rFonts w:hint="eastAsia"/>
          <w:szCs w:val="21"/>
          <w:lang w:eastAsia="zh-CN"/>
        </w:rPr>
        <w:t>恒卓采询（2023）008号</w:t>
      </w:r>
    </w:p>
    <w:p>
      <w:pPr>
        <w:spacing w:line="420" w:lineRule="exact"/>
        <w:ind w:firstLine="420" w:firstLineChars="200"/>
        <w:jc w:val="left"/>
        <w:rPr>
          <w:rFonts w:hint="eastAsia" w:eastAsia="宋体"/>
          <w:szCs w:val="21"/>
          <w:lang w:eastAsia="zh-CN"/>
        </w:rPr>
      </w:pPr>
      <w:r>
        <w:rPr>
          <w:szCs w:val="21"/>
        </w:rPr>
        <w:t>项目名称：</w:t>
      </w:r>
      <w:r>
        <w:rPr>
          <w:rFonts w:hint="eastAsia"/>
          <w:szCs w:val="21"/>
          <w:lang w:eastAsia="zh-CN"/>
        </w:rPr>
        <w:t>常州市M地块土壤污染状况调查钻探服务项目（二次）</w:t>
      </w:r>
    </w:p>
    <w:p>
      <w:pPr>
        <w:spacing w:line="420" w:lineRule="exact"/>
        <w:ind w:firstLine="420" w:firstLineChars="200"/>
        <w:jc w:val="left"/>
        <w:rPr>
          <w:szCs w:val="21"/>
        </w:rPr>
      </w:pPr>
      <w:r>
        <w:rPr>
          <w:szCs w:val="21"/>
        </w:rPr>
        <w:t>采购预算：212100元</w:t>
      </w:r>
    </w:p>
    <w:p>
      <w:pPr>
        <w:widowControl/>
        <w:snapToGrid w:val="0"/>
        <w:spacing w:line="420" w:lineRule="exact"/>
        <w:jc w:val="left"/>
        <w:rPr>
          <w:kern w:val="0"/>
          <w:szCs w:val="21"/>
        </w:rPr>
      </w:pPr>
      <w:r>
        <w:rPr>
          <w:kern w:val="0"/>
          <w:szCs w:val="21"/>
        </w:rPr>
        <w:t>二、资格条件</w:t>
      </w:r>
    </w:p>
    <w:p>
      <w:pPr>
        <w:spacing w:line="420" w:lineRule="exact"/>
        <w:ind w:firstLine="420" w:firstLineChars="200"/>
        <w:jc w:val="left"/>
        <w:rPr>
          <w:szCs w:val="21"/>
        </w:rPr>
      </w:pPr>
      <w:r>
        <w:rPr>
          <w:szCs w:val="21"/>
        </w:rPr>
        <w:t>1、具备《中华人民共和国政府采购法》第二十二条规定条件的法人；</w:t>
      </w:r>
    </w:p>
    <w:p>
      <w:pPr>
        <w:spacing w:line="420" w:lineRule="exact"/>
        <w:ind w:firstLine="420" w:firstLineChars="200"/>
        <w:jc w:val="left"/>
        <w:rPr>
          <w:szCs w:val="21"/>
        </w:rPr>
      </w:pPr>
      <w:r>
        <w:rPr>
          <w:szCs w:val="21"/>
        </w:rPr>
        <w:t>2、单位负责人为同一人或者存在直接控股、管理关系的不同供应商，不得参加同一合同项下的政府采购活动；</w:t>
      </w:r>
    </w:p>
    <w:p>
      <w:pPr>
        <w:spacing w:line="440" w:lineRule="exact"/>
        <w:ind w:firstLine="420" w:firstLineChars="200"/>
        <w:jc w:val="left"/>
        <w:rPr>
          <w:szCs w:val="21"/>
        </w:rPr>
      </w:pPr>
      <w:r>
        <w:rPr>
          <w:szCs w:val="21"/>
        </w:rPr>
        <w:t>3、具有营业执照副本</w:t>
      </w:r>
    </w:p>
    <w:p>
      <w:pPr>
        <w:spacing w:line="440" w:lineRule="exact"/>
        <w:ind w:firstLine="420" w:firstLineChars="200"/>
        <w:jc w:val="left"/>
        <w:rPr>
          <w:szCs w:val="21"/>
        </w:rPr>
      </w:pPr>
      <w:r>
        <w:rPr>
          <w:szCs w:val="21"/>
        </w:rPr>
        <w:t>4、采购人根据采购项目的特殊要求规定的特定条件：</w:t>
      </w:r>
    </w:p>
    <w:p>
      <w:pPr>
        <w:spacing w:line="440" w:lineRule="exact"/>
        <w:ind w:firstLine="420" w:firstLineChars="200"/>
        <w:jc w:val="left"/>
        <w:rPr>
          <w:szCs w:val="21"/>
        </w:rPr>
      </w:pPr>
      <w:r>
        <w:rPr>
          <w:szCs w:val="21"/>
        </w:rPr>
        <w:t>（1）</w:t>
      </w:r>
      <w:r>
        <w:t>投标人须在近3年承担过至少2个土壤污染状况调查钻探同类项目</w:t>
      </w:r>
      <w:r>
        <w:rPr>
          <w:b/>
          <w:bCs/>
        </w:rPr>
        <w:t>（提供合同复印件，时间以合同签订时间为准）</w:t>
      </w:r>
      <w:r>
        <w:rPr>
          <w:szCs w:val="21"/>
        </w:rPr>
        <w:t>；</w:t>
      </w:r>
    </w:p>
    <w:p>
      <w:pPr>
        <w:spacing w:line="440" w:lineRule="exact"/>
        <w:ind w:firstLine="420" w:firstLineChars="200"/>
        <w:jc w:val="left"/>
        <w:rPr>
          <w:szCs w:val="21"/>
        </w:rPr>
      </w:pPr>
      <w:r>
        <w:rPr>
          <w:szCs w:val="21"/>
        </w:rPr>
        <w:t>（2）</w:t>
      </w:r>
      <w:r>
        <w:t>投标人具有至少包含4台GP钻机</w:t>
      </w:r>
      <w:r>
        <w:rPr>
          <w:rFonts w:hint="eastAsia"/>
        </w:rPr>
        <w:t>（专业钻探设备）</w:t>
      </w:r>
      <w:r>
        <w:t>，并提供设备购买发票复印件</w:t>
      </w:r>
      <w:r>
        <w:rPr>
          <w:szCs w:val="21"/>
        </w:rPr>
        <w:t>；</w:t>
      </w:r>
    </w:p>
    <w:p>
      <w:pPr>
        <w:spacing w:line="440" w:lineRule="exact"/>
        <w:ind w:firstLine="420" w:firstLineChars="200"/>
        <w:jc w:val="left"/>
        <w:rPr>
          <w:szCs w:val="21"/>
        </w:rPr>
      </w:pPr>
      <w:r>
        <w:rPr>
          <w:szCs w:val="21"/>
        </w:rPr>
        <w:t>（3）未被“信用中国”网站（www.creditchina.gov.cn）列入失信被执行人、重大税收违法案件当事人名单、政府采购严重失信行为记录名单。</w:t>
      </w:r>
    </w:p>
    <w:p>
      <w:pPr>
        <w:spacing w:line="420" w:lineRule="exact"/>
        <w:ind w:firstLine="422" w:firstLineChars="200"/>
        <w:jc w:val="left"/>
        <w:rPr>
          <w:b/>
          <w:bCs/>
          <w:szCs w:val="21"/>
        </w:rPr>
      </w:pPr>
      <w:r>
        <w:rPr>
          <w:b/>
          <w:bCs/>
          <w:szCs w:val="21"/>
        </w:rPr>
        <w:t>5、本项目不接受联合体投标</w:t>
      </w:r>
    </w:p>
    <w:p>
      <w:pPr>
        <w:spacing w:line="420" w:lineRule="exact"/>
        <w:jc w:val="left"/>
        <w:rPr>
          <w:szCs w:val="21"/>
        </w:rPr>
      </w:pPr>
      <w:r>
        <w:rPr>
          <w:szCs w:val="21"/>
        </w:rPr>
        <w:t>三、询价响应文件的组成及要求</w:t>
      </w:r>
    </w:p>
    <w:p>
      <w:pPr>
        <w:spacing w:line="420" w:lineRule="exact"/>
        <w:ind w:firstLine="420" w:firstLineChars="200"/>
        <w:jc w:val="left"/>
        <w:rPr>
          <w:szCs w:val="21"/>
        </w:rPr>
      </w:pPr>
      <w:r>
        <w:rPr>
          <w:szCs w:val="21"/>
        </w:rPr>
        <w:t>（一）文件组成：</w:t>
      </w:r>
    </w:p>
    <w:p>
      <w:pPr>
        <w:spacing w:line="420" w:lineRule="exact"/>
        <w:ind w:firstLine="420" w:firstLineChars="200"/>
        <w:jc w:val="left"/>
        <w:rPr>
          <w:szCs w:val="21"/>
        </w:rPr>
      </w:pPr>
      <w:r>
        <w:rPr>
          <w:rFonts w:hint="eastAsia"/>
          <w:szCs w:val="21"/>
        </w:rPr>
        <w:t>1、</w:t>
      </w:r>
      <w:r>
        <w:rPr>
          <w:szCs w:val="21"/>
        </w:rPr>
        <w:t>商务部分</w:t>
      </w:r>
    </w:p>
    <w:p>
      <w:pPr>
        <w:spacing w:line="420" w:lineRule="exact"/>
        <w:ind w:firstLine="420" w:firstLineChars="200"/>
        <w:jc w:val="left"/>
        <w:rPr>
          <w:szCs w:val="21"/>
        </w:rPr>
      </w:pPr>
      <w:r>
        <w:rPr>
          <w:rFonts w:hint="eastAsia"/>
          <w:szCs w:val="21"/>
        </w:rPr>
        <w:t>（1）</w:t>
      </w:r>
      <w:r>
        <w:rPr>
          <w:szCs w:val="21"/>
        </w:rPr>
        <w:t>投标函</w:t>
      </w:r>
    </w:p>
    <w:p>
      <w:pPr>
        <w:spacing w:line="420" w:lineRule="exact"/>
        <w:ind w:firstLine="420" w:firstLineChars="200"/>
        <w:jc w:val="left"/>
        <w:rPr>
          <w:szCs w:val="21"/>
        </w:rPr>
      </w:pPr>
      <w:r>
        <w:rPr>
          <w:rFonts w:hint="eastAsia"/>
          <w:szCs w:val="21"/>
          <w:lang w:val="zh-CN"/>
        </w:rPr>
        <w:t>（</w:t>
      </w:r>
      <w:r>
        <w:rPr>
          <w:rFonts w:hint="eastAsia"/>
          <w:szCs w:val="21"/>
        </w:rPr>
        <w:t>2</w:t>
      </w:r>
      <w:r>
        <w:rPr>
          <w:rFonts w:hint="eastAsia"/>
          <w:szCs w:val="21"/>
          <w:lang w:val="zh-CN"/>
        </w:rPr>
        <w:t>）</w:t>
      </w:r>
      <w:r>
        <w:rPr>
          <w:szCs w:val="21"/>
          <w:lang w:val="zh-CN"/>
        </w:rPr>
        <w:t>承诺函</w:t>
      </w:r>
    </w:p>
    <w:p>
      <w:pPr>
        <w:spacing w:line="420" w:lineRule="exact"/>
        <w:ind w:firstLine="420" w:firstLineChars="200"/>
        <w:jc w:val="left"/>
        <w:rPr>
          <w:szCs w:val="21"/>
          <w:lang w:val="zh-CN"/>
        </w:rPr>
      </w:pPr>
      <w:r>
        <w:rPr>
          <w:rFonts w:hint="eastAsia"/>
          <w:szCs w:val="21"/>
        </w:rPr>
        <w:t>（3）</w:t>
      </w:r>
      <w:r>
        <w:rPr>
          <w:szCs w:val="21"/>
        </w:rPr>
        <w:t>法定代表人身份证明复印件；授权委托书、代理人身份证复印件（如果有授权委托情况的，必须提供）（后附法定代表人授权委托书格式）</w:t>
      </w:r>
    </w:p>
    <w:p>
      <w:pPr>
        <w:spacing w:line="420" w:lineRule="exact"/>
        <w:ind w:firstLine="420" w:firstLineChars="200"/>
        <w:jc w:val="left"/>
        <w:rPr>
          <w:szCs w:val="21"/>
        </w:rPr>
      </w:pPr>
      <w:r>
        <w:rPr>
          <w:rFonts w:hint="eastAsia"/>
          <w:szCs w:val="21"/>
        </w:rPr>
        <w:t>（4）</w:t>
      </w:r>
      <w:r>
        <w:rPr>
          <w:szCs w:val="21"/>
        </w:rPr>
        <w:t>营业执照副本复印件；</w:t>
      </w:r>
    </w:p>
    <w:p>
      <w:pPr>
        <w:spacing w:line="420" w:lineRule="exact"/>
        <w:ind w:firstLine="420" w:firstLineChars="200"/>
        <w:jc w:val="left"/>
        <w:rPr>
          <w:szCs w:val="21"/>
        </w:rPr>
      </w:pPr>
      <w:r>
        <w:rPr>
          <w:rFonts w:hint="eastAsia"/>
          <w:szCs w:val="21"/>
        </w:rPr>
        <w:t>（5）</w:t>
      </w:r>
      <w:r>
        <w:rPr>
          <w:szCs w:val="21"/>
        </w:rPr>
        <w:t>采购人根据采购项目的特殊要求规定的特定条件的证明文件；</w:t>
      </w:r>
    </w:p>
    <w:p>
      <w:pPr>
        <w:spacing w:line="440" w:lineRule="exact"/>
        <w:ind w:firstLine="420" w:firstLineChars="200"/>
        <w:jc w:val="left"/>
        <w:rPr>
          <w:szCs w:val="21"/>
        </w:rPr>
      </w:pPr>
      <w:r>
        <w:rPr>
          <w:rFonts w:hint="eastAsia" w:ascii="宋体" w:hAnsi="宋体" w:cs="宋体"/>
          <w:szCs w:val="21"/>
        </w:rPr>
        <w:t>①</w:t>
      </w:r>
      <w:r>
        <w:t>投标人须在近3年承担过至少2个土壤污染状况调查钻探同类项目</w:t>
      </w:r>
      <w:r>
        <w:rPr>
          <w:b/>
          <w:bCs/>
        </w:rPr>
        <w:t>（提供合同复印件，时间以合同签订时间为准）</w:t>
      </w:r>
      <w:r>
        <w:rPr>
          <w:szCs w:val="21"/>
        </w:rPr>
        <w:t>；</w:t>
      </w:r>
    </w:p>
    <w:p>
      <w:pPr>
        <w:spacing w:line="440" w:lineRule="exact"/>
        <w:ind w:firstLine="420" w:firstLineChars="200"/>
        <w:jc w:val="left"/>
        <w:rPr>
          <w:szCs w:val="21"/>
        </w:rPr>
      </w:pPr>
      <w:r>
        <w:rPr>
          <w:rFonts w:hint="eastAsia" w:ascii="宋体" w:hAnsi="宋体" w:cs="宋体"/>
          <w:szCs w:val="21"/>
        </w:rPr>
        <w:t>②</w:t>
      </w:r>
      <w:r>
        <w:t>投标人具有至少包含4台GP钻机</w:t>
      </w:r>
      <w:r>
        <w:rPr>
          <w:rFonts w:hint="eastAsia"/>
        </w:rPr>
        <w:t>（专业钻探设备）</w:t>
      </w:r>
      <w:r>
        <w:t>，并提供设备购买发票复印件</w:t>
      </w:r>
      <w:r>
        <w:rPr>
          <w:szCs w:val="21"/>
        </w:rPr>
        <w:t>；</w:t>
      </w:r>
    </w:p>
    <w:p>
      <w:pPr>
        <w:spacing w:line="440" w:lineRule="exact"/>
        <w:ind w:firstLine="420" w:firstLineChars="200"/>
        <w:jc w:val="left"/>
        <w:rPr>
          <w:szCs w:val="21"/>
        </w:rPr>
      </w:pPr>
      <w:r>
        <w:rPr>
          <w:rFonts w:hint="eastAsia" w:ascii="宋体" w:hAnsi="宋体" w:cs="宋体"/>
          <w:szCs w:val="21"/>
        </w:rPr>
        <w:t>③</w:t>
      </w:r>
      <w:r>
        <w:rPr>
          <w:szCs w:val="21"/>
        </w:rPr>
        <w:t>未被“信用中国”网站（www.creditchina.gov.cn）列入失信被执行人、重大税收违法案件当事人名单、政府采购严重失信行为记录名单。</w:t>
      </w:r>
    </w:p>
    <w:p>
      <w:pPr>
        <w:spacing w:line="420" w:lineRule="exact"/>
        <w:ind w:firstLine="420" w:firstLineChars="200"/>
        <w:jc w:val="left"/>
        <w:rPr>
          <w:szCs w:val="21"/>
        </w:rPr>
      </w:pPr>
      <w:r>
        <w:rPr>
          <w:rFonts w:hint="eastAsia"/>
          <w:szCs w:val="21"/>
        </w:rPr>
        <w:t>2、</w:t>
      </w:r>
      <w:r>
        <w:rPr>
          <w:szCs w:val="21"/>
        </w:rPr>
        <w:t>技术部分</w:t>
      </w:r>
    </w:p>
    <w:p>
      <w:pPr>
        <w:spacing w:line="420" w:lineRule="exact"/>
        <w:ind w:firstLine="422" w:firstLineChars="200"/>
        <w:jc w:val="left"/>
        <w:rPr>
          <w:szCs w:val="21"/>
        </w:rPr>
      </w:pPr>
      <w:r>
        <w:rPr>
          <w:rFonts w:hint="eastAsia"/>
          <w:b/>
          <w:bCs/>
          <w:szCs w:val="21"/>
          <w:lang w:val="zh-CN"/>
        </w:rPr>
        <w:t>（</w:t>
      </w:r>
      <w:r>
        <w:rPr>
          <w:rFonts w:hint="eastAsia"/>
          <w:b/>
          <w:bCs/>
          <w:szCs w:val="21"/>
        </w:rPr>
        <w:t>1</w:t>
      </w:r>
      <w:r>
        <w:rPr>
          <w:rFonts w:hint="eastAsia"/>
          <w:b/>
          <w:bCs/>
          <w:szCs w:val="21"/>
          <w:lang w:val="zh-CN"/>
        </w:rPr>
        <w:t>）</w:t>
      </w:r>
      <w:r>
        <w:rPr>
          <w:b/>
          <w:bCs/>
          <w:szCs w:val="21"/>
          <w:lang w:val="zh-CN"/>
        </w:rPr>
        <w:t>偏离表：</w:t>
      </w:r>
    </w:p>
    <w:p>
      <w:pPr>
        <w:spacing w:line="420" w:lineRule="exact"/>
        <w:ind w:firstLine="422" w:firstLineChars="200"/>
        <w:jc w:val="left"/>
        <w:rPr>
          <w:szCs w:val="21"/>
          <w:highlight w:val="yellow"/>
        </w:rPr>
      </w:pPr>
      <w:r>
        <w:rPr>
          <w:rFonts w:hint="eastAsia"/>
          <w:b/>
          <w:bCs/>
          <w:szCs w:val="21"/>
          <w:lang w:val="zh-CN"/>
        </w:rPr>
        <w:t>（</w:t>
      </w:r>
      <w:r>
        <w:rPr>
          <w:rFonts w:hint="eastAsia"/>
          <w:b/>
          <w:bCs/>
          <w:szCs w:val="21"/>
        </w:rPr>
        <w:t>2</w:t>
      </w:r>
      <w:r>
        <w:rPr>
          <w:rFonts w:hint="eastAsia"/>
          <w:b/>
          <w:bCs/>
          <w:szCs w:val="21"/>
          <w:lang w:val="zh-CN"/>
        </w:rPr>
        <w:t>）</w:t>
      </w:r>
      <w:r>
        <w:rPr>
          <w:b/>
          <w:bCs/>
          <w:szCs w:val="21"/>
          <w:lang w:val="zh-CN"/>
        </w:rPr>
        <w:t>服务承诺书；</w:t>
      </w:r>
    </w:p>
    <w:p>
      <w:pPr>
        <w:spacing w:line="420" w:lineRule="exact"/>
        <w:ind w:firstLine="420" w:firstLineChars="200"/>
        <w:jc w:val="left"/>
        <w:rPr>
          <w:szCs w:val="21"/>
          <w:lang w:val="zh-CN"/>
        </w:rPr>
      </w:pPr>
      <w:r>
        <w:rPr>
          <w:rFonts w:hint="eastAsia"/>
          <w:szCs w:val="21"/>
          <w:lang w:val="zh-CN"/>
        </w:rPr>
        <w:t>（</w:t>
      </w:r>
      <w:r>
        <w:rPr>
          <w:rFonts w:hint="eastAsia"/>
          <w:szCs w:val="21"/>
        </w:rPr>
        <w:t>3</w:t>
      </w:r>
      <w:r>
        <w:rPr>
          <w:rFonts w:hint="eastAsia"/>
          <w:szCs w:val="21"/>
          <w:lang w:val="zh-CN"/>
        </w:rPr>
        <w:t>）</w:t>
      </w:r>
      <w:r>
        <w:rPr>
          <w:szCs w:val="21"/>
          <w:lang w:val="zh-CN"/>
        </w:rPr>
        <w:t>供应商认为需要提供的其他技术文件或资料等。</w:t>
      </w:r>
    </w:p>
    <w:p>
      <w:pPr>
        <w:spacing w:line="420" w:lineRule="exact"/>
        <w:ind w:firstLine="420" w:firstLineChars="200"/>
        <w:jc w:val="left"/>
        <w:rPr>
          <w:szCs w:val="21"/>
        </w:rPr>
      </w:pPr>
      <w:r>
        <w:rPr>
          <w:rFonts w:hint="eastAsia"/>
          <w:szCs w:val="21"/>
        </w:rPr>
        <w:t>3、</w:t>
      </w:r>
      <w:r>
        <w:rPr>
          <w:szCs w:val="21"/>
        </w:rPr>
        <w:t>报价部分</w:t>
      </w:r>
    </w:p>
    <w:p>
      <w:pPr>
        <w:spacing w:line="420" w:lineRule="exact"/>
        <w:ind w:firstLine="420" w:firstLineChars="200"/>
        <w:jc w:val="left"/>
        <w:rPr>
          <w:szCs w:val="21"/>
        </w:rPr>
      </w:pPr>
      <w:r>
        <w:rPr>
          <w:rFonts w:hint="eastAsia"/>
          <w:szCs w:val="21"/>
        </w:rPr>
        <w:t>（1）</w:t>
      </w:r>
      <w:r>
        <w:rPr>
          <w:szCs w:val="21"/>
        </w:rPr>
        <w:t>开标一览表</w:t>
      </w:r>
    </w:p>
    <w:p>
      <w:pPr>
        <w:spacing w:line="420" w:lineRule="exact"/>
        <w:ind w:firstLine="420" w:firstLineChars="200"/>
        <w:jc w:val="left"/>
        <w:rPr>
          <w:szCs w:val="21"/>
        </w:rPr>
      </w:pPr>
      <w:r>
        <w:rPr>
          <w:rFonts w:hint="eastAsia"/>
          <w:szCs w:val="21"/>
        </w:rPr>
        <w:t>（3）</w:t>
      </w:r>
      <w:r>
        <w:rPr>
          <w:szCs w:val="21"/>
        </w:rPr>
        <w:t>分项表报价表</w:t>
      </w:r>
    </w:p>
    <w:p>
      <w:pPr>
        <w:spacing w:line="420" w:lineRule="exact"/>
        <w:ind w:firstLine="420" w:firstLineChars="200"/>
        <w:jc w:val="left"/>
        <w:rPr>
          <w:b/>
          <w:bCs/>
          <w:szCs w:val="21"/>
        </w:rPr>
      </w:pPr>
      <w:r>
        <w:rPr>
          <w:szCs w:val="21"/>
        </w:rPr>
        <w:t xml:space="preserve">  </w:t>
      </w:r>
      <w:r>
        <w:rPr>
          <w:b/>
          <w:bCs/>
          <w:szCs w:val="21"/>
        </w:rPr>
        <w:t>上述</w:t>
      </w:r>
      <w:r>
        <w:rPr>
          <w:rFonts w:hint="eastAsia"/>
          <w:b/>
          <w:bCs/>
          <w:szCs w:val="21"/>
        </w:rPr>
        <w:t>1-3</w:t>
      </w:r>
      <w:r>
        <w:rPr>
          <w:b/>
          <w:bCs/>
          <w:szCs w:val="21"/>
        </w:rPr>
        <w:t>项所有内容为必备材料，如有缺项为无效响应。</w:t>
      </w:r>
    </w:p>
    <w:p>
      <w:pPr>
        <w:spacing w:line="420" w:lineRule="exact"/>
        <w:ind w:firstLine="420" w:firstLineChars="200"/>
        <w:jc w:val="left"/>
        <w:rPr>
          <w:szCs w:val="21"/>
        </w:rPr>
      </w:pPr>
      <w:r>
        <w:rPr>
          <w:szCs w:val="21"/>
        </w:rPr>
        <w:t>（二）文件的签署和密封要求：</w:t>
      </w:r>
    </w:p>
    <w:p>
      <w:pPr>
        <w:widowControl/>
        <w:snapToGrid w:val="0"/>
        <w:spacing w:line="420" w:lineRule="exact"/>
        <w:ind w:firstLine="527" w:firstLineChars="250"/>
        <w:jc w:val="left"/>
        <w:rPr>
          <w:b/>
          <w:kern w:val="0"/>
          <w:szCs w:val="21"/>
        </w:rPr>
      </w:pPr>
      <w:r>
        <w:rPr>
          <w:b/>
          <w:kern w:val="0"/>
          <w:szCs w:val="21"/>
        </w:rPr>
        <w:t>1.询价响应文件为正本一份、副本贰份，需胶装成册，U盘壹份（</w:t>
      </w:r>
      <w:r>
        <w:rPr>
          <w:rFonts w:hint="eastAsia"/>
          <w:b/>
          <w:kern w:val="0"/>
          <w:szCs w:val="21"/>
        </w:rPr>
        <w:t>U盘里须包含响应文件盖公章（红章）正本的PDF扫描件及投标文件WORD版，所提供内容应与纸质文件完全一致。</w:t>
      </w:r>
      <w:r>
        <w:rPr>
          <w:b/>
          <w:kern w:val="0"/>
          <w:szCs w:val="21"/>
        </w:rPr>
        <w:t>）；</w:t>
      </w:r>
    </w:p>
    <w:p>
      <w:pPr>
        <w:widowControl/>
        <w:snapToGrid w:val="0"/>
        <w:spacing w:line="420" w:lineRule="exact"/>
        <w:ind w:firstLine="525" w:firstLineChars="250"/>
        <w:jc w:val="left"/>
        <w:rPr>
          <w:kern w:val="0"/>
          <w:szCs w:val="21"/>
        </w:rPr>
      </w:pPr>
      <w:r>
        <w:rPr>
          <w:kern w:val="0"/>
          <w:szCs w:val="21"/>
        </w:rPr>
        <w:t>2.询价响应文件中复印件材料需加盖公章；</w:t>
      </w:r>
    </w:p>
    <w:p>
      <w:pPr>
        <w:widowControl/>
        <w:snapToGrid w:val="0"/>
        <w:spacing w:line="420" w:lineRule="exact"/>
        <w:ind w:firstLine="525" w:firstLineChars="250"/>
        <w:jc w:val="left"/>
        <w:rPr>
          <w:kern w:val="0"/>
          <w:szCs w:val="21"/>
        </w:rPr>
      </w:pPr>
      <w:r>
        <w:rPr>
          <w:kern w:val="0"/>
          <w:szCs w:val="21"/>
        </w:rPr>
        <w:t>3.询价响应文件须装袋密封，封口处须加盖单位公章，封面应注明采购项目编号、项目名称、采购人和响应单位名称，联系人，联系电话等。</w:t>
      </w:r>
    </w:p>
    <w:p>
      <w:pPr>
        <w:widowControl/>
        <w:snapToGrid w:val="0"/>
        <w:spacing w:line="420" w:lineRule="exact"/>
        <w:ind w:right="-153"/>
        <w:jc w:val="left"/>
        <w:rPr>
          <w:kern w:val="0"/>
          <w:szCs w:val="21"/>
        </w:rPr>
      </w:pPr>
      <w:r>
        <w:rPr>
          <w:szCs w:val="21"/>
        </w:rPr>
        <w:t>四、综合说明</w:t>
      </w:r>
    </w:p>
    <w:p>
      <w:pPr>
        <w:pStyle w:val="11"/>
        <w:spacing w:line="420" w:lineRule="exact"/>
        <w:ind w:firstLine="420" w:firstLineChars="200"/>
        <w:rPr>
          <w:rFonts w:ascii="Times New Roman" w:hAnsi="Times New Roman"/>
          <w:kern w:val="0"/>
          <w:sz w:val="21"/>
          <w:szCs w:val="21"/>
        </w:rPr>
      </w:pPr>
      <w:r>
        <w:rPr>
          <w:rFonts w:ascii="Times New Roman" w:hAnsi="Times New Roman"/>
          <w:kern w:val="0"/>
          <w:sz w:val="21"/>
          <w:szCs w:val="21"/>
        </w:rPr>
        <w:t>1.本次询价采购，响应单位须报出完整且唯一的总报价。报价应包括</w:t>
      </w:r>
      <w:r>
        <w:rPr>
          <w:rFonts w:ascii="Times New Roman" w:hAnsi="Times New Roman"/>
          <w:sz w:val="21"/>
          <w:szCs w:val="21"/>
        </w:rPr>
        <w:t>但不限于询价文件及其基本技术要求范围内相应服务前的准备（包括现场踏勘等）、</w:t>
      </w:r>
      <w:r>
        <w:rPr>
          <w:rFonts w:ascii="Times New Roman" w:hAnsi="Times New Roman"/>
          <w:b/>
          <w:bCs/>
          <w:sz w:val="21"/>
          <w:szCs w:val="21"/>
        </w:rPr>
        <w:t>人工工资、报告费、现场快筛、车辆设备、利润、税金、风险及政策性文件</w:t>
      </w:r>
      <w:r>
        <w:rPr>
          <w:rFonts w:ascii="Times New Roman" w:hAnsi="Times New Roman"/>
          <w:sz w:val="21"/>
          <w:szCs w:val="21"/>
        </w:rPr>
        <w:t>规定等各项应有费用，以及为完成招标文件规定的服务工作所涉及到的一切相关费用</w:t>
      </w:r>
      <w:r>
        <w:rPr>
          <w:rFonts w:ascii="Times New Roman" w:hAnsi="Times New Roman"/>
          <w:kern w:val="0"/>
          <w:sz w:val="21"/>
          <w:szCs w:val="21"/>
          <w:lang w:val="zh-CN"/>
        </w:rPr>
        <w:t>。</w:t>
      </w:r>
      <w:r>
        <w:rPr>
          <w:rFonts w:ascii="Times New Roman" w:hAnsi="Times New Roman"/>
          <w:sz w:val="21"/>
          <w:szCs w:val="21"/>
        </w:rPr>
        <w:t>同时，除非合同条款中另有规定，否则，投标单位所报价格在合同投标、实施期间不因市场变化因素而变</w:t>
      </w:r>
      <w:r>
        <w:rPr>
          <w:rFonts w:ascii="Times New Roman" w:hAnsi="Times New Roman"/>
          <w:kern w:val="0"/>
          <w:sz w:val="21"/>
          <w:szCs w:val="21"/>
        </w:rPr>
        <w:t>动。以最低报价确定成交供应商。</w:t>
      </w:r>
    </w:p>
    <w:p>
      <w:pPr>
        <w:spacing w:line="380" w:lineRule="exact"/>
        <w:ind w:firstLine="420" w:firstLineChars="200"/>
        <w:rPr>
          <w:kern w:val="0"/>
          <w:szCs w:val="21"/>
        </w:rPr>
      </w:pPr>
      <w:r>
        <w:rPr>
          <w:rFonts w:hint="eastAsia"/>
          <w:kern w:val="0"/>
          <w:szCs w:val="21"/>
        </w:rPr>
        <w:t>2</w:t>
      </w:r>
      <w:r>
        <w:rPr>
          <w:kern w:val="0"/>
          <w:szCs w:val="21"/>
        </w:rPr>
        <w:t>.请贵单位按上述要求编制询价响应文件盖章密封，并于</w:t>
      </w:r>
      <w:r>
        <w:rPr>
          <w:b/>
          <w:szCs w:val="21"/>
        </w:rPr>
        <w:t>2023年</w:t>
      </w:r>
      <w:r>
        <w:rPr>
          <w:rFonts w:hint="eastAsia"/>
          <w:b/>
          <w:szCs w:val="21"/>
          <w:lang w:val="en-US" w:eastAsia="zh-CN"/>
        </w:rPr>
        <w:t>11</w:t>
      </w:r>
      <w:r>
        <w:rPr>
          <w:b/>
          <w:szCs w:val="21"/>
        </w:rPr>
        <w:t>月</w:t>
      </w:r>
      <w:r>
        <w:rPr>
          <w:rFonts w:hint="eastAsia"/>
          <w:b/>
          <w:szCs w:val="21"/>
          <w:lang w:val="en-US" w:eastAsia="zh-CN"/>
        </w:rPr>
        <w:t>1</w:t>
      </w:r>
      <w:r>
        <w:rPr>
          <w:rFonts w:hint="eastAsia"/>
          <w:b/>
          <w:szCs w:val="21"/>
        </w:rPr>
        <w:t>0</w:t>
      </w:r>
      <w:r>
        <w:rPr>
          <w:b/>
          <w:szCs w:val="21"/>
        </w:rPr>
        <w:t>日</w:t>
      </w:r>
      <w:r>
        <w:rPr>
          <w:rFonts w:hint="eastAsia"/>
          <w:b/>
          <w:szCs w:val="21"/>
          <w:lang w:val="en-US" w:eastAsia="zh-CN"/>
        </w:rPr>
        <w:t>上</w:t>
      </w:r>
      <w:r>
        <w:rPr>
          <w:b/>
          <w:szCs w:val="21"/>
        </w:rPr>
        <w:t>午</w:t>
      </w:r>
      <w:r>
        <w:rPr>
          <w:rFonts w:hint="eastAsia"/>
          <w:b/>
          <w:szCs w:val="21"/>
          <w:lang w:val="en-US" w:eastAsia="zh-CN"/>
        </w:rPr>
        <w:t>09</w:t>
      </w:r>
      <w:r>
        <w:rPr>
          <w:b/>
          <w:szCs w:val="21"/>
        </w:rPr>
        <w:t>：</w:t>
      </w:r>
      <w:r>
        <w:rPr>
          <w:rFonts w:hint="eastAsia"/>
          <w:b/>
          <w:szCs w:val="21"/>
          <w:lang w:val="en-US" w:eastAsia="zh-CN"/>
        </w:rPr>
        <w:t>3</w:t>
      </w:r>
      <w:r>
        <w:rPr>
          <w:b/>
          <w:szCs w:val="21"/>
        </w:rPr>
        <w:t>0</w:t>
      </w:r>
      <w:r>
        <w:rPr>
          <w:b/>
          <w:bCs/>
          <w:kern w:val="0"/>
          <w:szCs w:val="21"/>
        </w:rPr>
        <w:t>前</w:t>
      </w:r>
      <w:r>
        <w:rPr>
          <w:kern w:val="0"/>
          <w:szCs w:val="21"/>
        </w:rPr>
        <w:t>送交至常州市恒卓建设工程管理咨询有限公司。不按询价文件组成要求制作报价文件并签署的或过时递交文件的，均为无效文件。本项目将于</w:t>
      </w:r>
      <w:r>
        <w:rPr>
          <w:b/>
          <w:szCs w:val="21"/>
        </w:rPr>
        <w:t>2023年</w:t>
      </w:r>
      <w:r>
        <w:rPr>
          <w:rFonts w:hint="eastAsia"/>
          <w:b/>
          <w:szCs w:val="21"/>
        </w:rPr>
        <w:t>1</w:t>
      </w:r>
      <w:r>
        <w:rPr>
          <w:rFonts w:hint="eastAsia"/>
          <w:b/>
          <w:szCs w:val="21"/>
          <w:lang w:val="en-US" w:eastAsia="zh-CN"/>
        </w:rPr>
        <w:t>1</w:t>
      </w:r>
      <w:r>
        <w:rPr>
          <w:b/>
          <w:szCs w:val="21"/>
        </w:rPr>
        <w:t>月</w:t>
      </w:r>
      <w:r>
        <w:rPr>
          <w:rFonts w:hint="eastAsia"/>
          <w:b/>
          <w:szCs w:val="21"/>
          <w:lang w:val="en-US" w:eastAsia="zh-CN"/>
        </w:rPr>
        <w:t>1</w:t>
      </w:r>
      <w:r>
        <w:rPr>
          <w:rFonts w:hint="eastAsia"/>
          <w:b/>
          <w:szCs w:val="21"/>
        </w:rPr>
        <w:t>0</w:t>
      </w:r>
      <w:r>
        <w:rPr>
          <w:b/>
          <w:szCs w:val="21"/>
        </w:rPr>
        <w:t>日</w:t>
      </w:r>
      <w:r>
        <w:rPr>
          <w:rFonts w:hint="eastAsia"/>
          <w:b/>
          <w:szCs w:val="21"/>
          <w:lang w:val="en-US" w:eastAsia="zh-CN"/>
        </w:rPr>
        <w:t>上</w:t>
      </w:r>
      <w:r>
        <w:rPr>
          <w:b/>
          <w:szCs w:val="21"/>
        </w:rPr>
        <w:t>午</w:t>
      </w:r>
      <w:r>
        <w:rPr>
          <w:rFonts w:hint="eastAsia"/>
          <w:b/>
          <w:szCs w:val="21"/>
          <w:lang w:val="en-US" w:eastAsia="zh-CN"/>
        </w:rPr>
        <w:t>09</w:t>
      </w:r>
      <w:r>
        <w:rPr>
          <w:b/>
          <w:szCs w:val="21"/>
        </w:rPr>
        <w:t>：</w:t>
      </w:r>
      <w:r>
        <w:rPr>
          <w:rFonts w:hint="eastAsia"/>
          <w:b/>
          <w:szCs w:val="21"/>
          <w:lang w:val="en-US" w:eastAsia="zh-CN"/>
        </w:rPr>
        <w:t>3</w:t>
      </w:r>
      <w:r>
        <w:rPr>
          <w:b/>
          <w:szCs w:val="21"/>
        </w:rPr>
        <w:t>0</w:t>
      </w:r>
      <w:r>
        <w:rPr>
          <w:kern w:val="0"/>
          <w:szCs w:val="21"/>
        </w:rPr>
        <w:t>在常州市恒卓建设工程管理咨询有限公司开始评标。</w:t>
      </w:r>
    </w:p>
    <w:p>
      <w:pPr>
        <w:widowControl/>
        <w:snapToGrid w:val="0"/>
        <w:spacing w:line="420" w:lineRule="exact"/>
        <w:ind w:right="-154" w:firstLine="525" w:firstLineChars="250"/>
        <w:jc w:val="left"/>
        <w:rPr>
          <w:kern w:val="0"/>
          <w:szCs w:val="21"/>
        </w:rPr>
      </w:pPr>
      <w:r>
        <w:rPr>
          <w:rFonts w:hint="eastAsia"/>
          <w:kern w:val="0"/>
          <w:szCs w:val="21"/>
        </w:rPr>
        <w:t>3</w:t>
      </w:r>
      <w:r>
        <w:rPr>
          <w:kern w:val="0"/>
          <w:szCs w:val="21"/>
        </w:rPr>
        <w:t>.成交原则：在符合采购需求、质量和服务相等且报价未超过采购预算的前提下，以提出最低报价的响应单位为成交供应商。若最低报价相同，则</w:t>
      </w:r>
      <w:r>
        <w:rPr>
          <w:szCs w:val="21"/>
        </w:rPr>
        <w:t>依次</w:t>
      </w:r>
      <w:r>
        <w:rPr>
          <w:rStyle w:val="47"/>
          <w:rFonts w:ascii="Times New Roman" w:hAnsi="Times New Roman"/>
          <w:szCs w:val="21"/>
        </w:rPr>
        <w:t>按技术指标高优先、质量保证</w:t>
      </w:r>
      <w:r>
        <w:rPr>
          <w:szCs w:val="21"/>
        </w:rPr>
        <w:t>期长优先、交货期短优先、故障响应时间短优先的顺序排列</w:t>
      </w:r>
      <w:r>
        <w:rPr>
          <w:kern w:val="0"/>
          <w:szCs w:val="21"/>
        </w:rPr>
        <w:t xml:space="preserve">选择成交供应商。                                                         </w:t>
      </w:r>
    </w:p>
    <w:p>
      <w:pPr>
        <w:widowControl/>
        <w:snapToGrid w:val="0"/>
        <w:spacing w:line="420" w:lineRule="exact"/>
        <w:ind w:right="-154" w:firstLine="527" w:firstLineChars="250"/>
        <w:jc w:val="left"/>
        <w:rPr>
          <w:szCs w:val="21"/>
        </w:rPr>
      </w:pPr>
      <w:r>
        <w:rPr>
          <w:rFonts w:hint="eastAsia"/>
          <w:b/>
          <w:bCs/>
          <w:kern w:val="0"/>
          <w:szCs w:val="21"/>
        </w:rPr>
        <w:t>4</w:t>
      </w:r>
      <w:r>
        <w:rPr>
          <w:b/>
          <w:bCs/>
          <w:kern w:val="0"/>
          <w:szCs w:val="21"/>
        </w:rPr>
        <w:t>. 投标保证金</w:t>
      </w:r>
    </w:p>
    <w:p>
      <w:pPr>
        <w:spacing w:line="390" w:lineRule="exact"/>
        <w:ind w:firstLine="420" w:firstLineChars="200"/>
        <w:rPr>
          <w:szCs w:val="21"/>
        </w:rPr>
      </w:pPr>
      <w:r>
        <w:rPr>
          <w:rFonts w:hint="eastAsia"/>
          <w:szCs w:val="21"/>
        </w:rPr>
        <w:t>4</w:t>
      </w:r>
      <w:r>
        <w:rPr>
          <w:szCs w:val="21"/>
        </w:rPr>
        <w:t>.1投标保证金是投标文件的一个组成部分，投标单位须按规定从公司账户缴纳。在开标时，未按要求缴纳保证金的投标无效，无效投标不予参加评审。</w:t>
      </w:r>
    </w:p>
    <w:p>
      <w:pPr>
        <w:spacing w:line="390" w:lineRule="exact"/>
        <w:ind w:firstLine="420" w:firstLineChars="200"/>
        <w:rPr>
          <w:b/>
          <w:szCs w:val="21"/>
        </w:rPr>
      </w:pPr>
      <w:r>
        <w:rPr>
          <w:rFonts w:hint="eastAsia"/>
          <w:szCs w:val="21"/>
        </w:rPr>
        <w:t>4</w:t>
      </w:r>
      <w:r>
        <w:rPr>
          <w:szCs w:val="21"/>
        </w:rPr>
        <w:t>.2未中标的投标单位保证金将在公示有效期（七个工作日）后五个工作日内无息退回。未中标单位须自行将保证金收据背书单位名称、开户行及账号、联系人及电话后至综合办办理退款事宜。</w:t>
      </w:r>
    </w:p>
    <w:p>
      <w:pPr>
        <w:spacing w:line="390" w:lineRule="exact"/>
        <w:ind w:firstLine="420" w:firstLineChars="200"/>
        <w:rPr>
          <w:b/>
          <w:szCs w:val="21"/>
        </w:rPr>
      </w:pPr>
      <w:r>
        <w:rPr>
          <w:rFonts w:hint="eastAsia"/>
          <w:szCs w:val="21"/>
        </w:rPr>
        <w:t>4</w:t>
      </w:r>
      <w:r>
        <w:rPr>
          <w:szCs w:val="21"/>
        </w:rPr>
        <w:t>.3中标单位的投标保证金将在其合同签约完毕（合同须由代理机构备案）后五个工作日内无息退还。</w:t>
      </w:r>
    </w:p>
    <w:p>
      <w:pPr>
        <w:spacing w:line="390" w:lineRule="exact"/>
        <w:ind w:firstLine="420" w:firstLineChars="200"/>
        <w:rPr>
          <w:b/>
          <w:szCs w:val="21"/>
        </w:rPr>
      </w:pPr>
      <w:r>
        <w:rPr>
          <w:rFonts w:hint="eastAsia"/>
          <w:szCs w:val="21"/>
        </w:rPr>
        <w:t>4</w:t>
      </w:r>
      <w:r>
        <w:rPr>
          <w:szCs w:val="21"/>
        </w:rPr>
        <w:t>.4投标单位出现下列情况之一的，取消其中标资格，</w:t>
      </w:r>
      <w:r>
        <w:rPr>
          <w:b/>
          <w:szCs w:val="21"/>
        </w:rPr>
        <w:t>并没收其投标保证金：</w:t>
      </w:r>
    </w:p>
    <w:p>
      <w:pPr>
        <w:spacing w:line="390" w:lineRule="exact"/>
        <w:ind w:firstLine="420" w:firstLineChars="200"/>
        <w:rPr>
          <w:szCs w:val="21"/>
        </w:rPr>
      </w:pPr>
      <w:r>
        <w:rPr>
          <w:rFonts w:hint="eastAsia"/>
          <w:szCs w:val="21"/>
        </w:rPr>
        <w:t>4</w:t>
      </w:r>
      <w:r>
        <w:rPr>
          <w:szCs w:val="21"/>
        </w:rPr>
        <w:t>.4.1投标单位在投标有效期内撤回其投标文件；</w:t>
      </w:r>
    </w:p>
    <w:p>
      <w:pPr>
        <w:spacing w:line="390" w:lineRule="exact"/>
        <w:ind w:firstLine="420" w:firstLineChars="200"/>
        <w:rPr>
          <w:szCs w:val="21"/>
        </w:rPr>
      </w:pPr>
      <w:r>
        <w:rPr>
          <w:rFonts w:hint="eastAsia"/>
          <w:szCs w:val="21"/>
        </w:rPr>
        <w:t>4</w:t>
      </w:r>
      <w:r>
        <w:rPr>
          <w:szCs w:val="21"/>
        </w:rPr>
        <w:t>.4.2中标单位未能在招标文件规定的期限提交履约担保；</w:t>
      </w:r>
    </w:p>
    <w:p>
      <w:pPr>
        <w:spacing w:line="390" w:lineRule="exact"/>
        <w:ind w:firstLine="420" w:firstLineChars="200"/>
        <w:rPr>
          <w:szCs w:val="21"/>
        </w:rPr>
      </w:pPr>
      <w:r>
        <w:rPr>
          <w:rFonts w:hint="eastAsia"/>
          <w:szCs w:val="21"/>
        </w:rPr>
        <w:t>4</w:t>
      </w:r>
      <w:r>
        <w:rPr>
          <w:szCs w:val="21"/>
        </w:rPr>
        <w:t>.4.3中标单位无正当理由拒绝签订合同或者由于投标单位的原因导致中标无效的；</w:t>
      </w:r>
    </w:p>
    <w:p>
      <w:pPr>
        <w:spacing w:line="390" w:lineRule="exact"/>
        <w:ind w:firstLine="420" w:firstLineChars="200"/>
        <w:rPr>
          <w:szCs w:val="21"/>
        </w:rPr>
      </w:pPr>
      <w:r>
        <w:rPr>
          <w:rFonts w:hint="eastAsia"/>
          <w:szCs w:val="21"/>
        </w:rPr>
        <w:t>4</w:t>
      </w:r>
      <w:r>
        <w:rPr>
          <w:szCs w:val="21"/>
        </w:rPr>
        <w:t>.4.4投标单位提供的有关资料、资格证明文件被确认是不真实的或投标单位之间被证实有串通（统一哄抬价格）、欺诈行为；</w:t>
      </w:r>
    </w:p>
    <w:p>
      <w:pPr>
        <w:spacing w:line="390" w:lineRule="exact"/>
        <w:ind w:firstLine="420" w:firstLineChars="200"/>
        <w:rPr>
          <w:szCs w:val="21"/>
        </w:rPr>
      </w:pPr>
      <w:r>
        <w:rPr>
          <w:rFonts w:hint="eastAsia"/>
          <w:szCs w:val="21"/>
        </w:rPr>
        <w:t>4</w:t>
      </w:r>
      <w:r>
        <w:rPr>
          <w:szCs w:val="21"/>
        </w:rPr>
        <w:t>.4.5投标单位被证明有妨碍其他人公平竞争、损害代理机构或者其他投标单位合法权益的；</w:t>
      </w:r>
    </w:p>
    <w:p>
      <w:pPr>
        <w:spacing w:line="390" w:lineRule="exact"/>
        <w:ind w:firstLine="420" w:firstLineChars="200"/>
        <w:rPr>
          <w:b/>
          <w:bCs/>
          <w:kern w:val="0"/>
          <w:szCs w:val="21"/>
          <w:highlight w:val="yellow"/>
        </w:rPr>
      </w:pPr>
      <w:r>
        <w:rPr>
          <w:rFonts w:hint="eastAsia"/>
          <w:szCs w:val="21"/>
        </w:rPr>
        <w:t>4</w:t>
      </w:r>
      <w:r>
        <w:rPr>
          <w:szCs w:val="21"/>
        </w:rPr>
        <w:t>.4.6法律法规认定的其他情形。</w:t>
      </w:r>
    </w:p>
    <w:p>
      <w:pPr>
        <w:widowControl/>
        <w:snapToGrid w:val="0"/>
        <w:spacing w:line="420" w:lineRule="exact"/>
        <w:ind w:right="-154" w:firstLine="527" w:firstLineChars="250"/>
        <w:jc w:val="left"/>
        <w:rPr>
          <w:b/>
          <w:bCs/>
          <w:kern w:val="0"/>
          <w:szCs w:val="21"/>
        </w:rPr>
      </w:pPr>
      <w:r>
        <w:rPr>
          <w:rFonts w:hint="eastAsia"/>
          <w:b/>
          <w:bCs/>
          <w:kern w:val="0"/>
          <w:szCs w:val="21"/>
        </w:rPr>
        <w:t>5</w:t>
      </w:r>
      <w:r>
        <w:rPr>
          <w:b/>
          <w:bCs/>
          <w:kern w:val="0"/>
          <w:szCs w:val="21"/>
        </w:rPr>
        <w:t>.履约保证金金额</w:t>
      </w:r>
    </w:p>
    <w:p>
      <w:pPr>
        <w:widowControl/>
        <w:snapToGrid w:val="0"/>
        <w:spacing w:line="420" w:lineRule="exact"/>
        <w:ind w:right="-153" w:firstLine="525" w:firstLineChars="250"/>
        <w:jc w:val="left"/>
        <w:rPr>
          <w:kern w:val="0"/>
          <w:szCs w:val="21"/>
        </w:rPr>
      </w:pPr>
      <w:r>
        <w:rPr>
          <w:rFonts w:hint="eastAsia"/>
          <w:kern w:val="0"/>
          <w:szCs w:val="21"/>
        </w:rPr>
        <w:t>5</w:t>
      </w:r>
      <w:r>
        <w:rPr>
          <w:kern w:val="0"/>
          <w:szCs w:val="21"/>
        </w:rPr>
        <w:t>.1中标单位应按规定提交履约保证金。</w:t>
      </w:r>
    </w:p>
    <w:p>
      <w:pPr>
        <w:widowControl/>
        <w:snapToGrid w:val="0"/>
        <w:spacing w:line="420" w:lineRule="exact"/>
        <w:ind w:right="-153" w:firstLine="525" w:firstLineChars="250"/>
        <w:jc w:val="left"/>
        <w:rPr>
          <w:kern w:val="0"/>
          <w:szCs w:val="21"/>
        </w:rPr>
      </w:pPr>
      <w:r>
        <w:rPr>
          <w:rFonts w:hint="eastAsia"/>
          <w:kern w:val="0"/>
          <w:szCs w:val="21"/>
        </w:rPr>
        <w:t>5</w:t>
      </w:r>
      <w:r>
        <w:rPr>
          <w:kern w:val="0"/>
          <w:szCs w:val="21"/>
        </w:rPr>
        <w:t>.2中标单位必须在合同签订前向</w:t>
      </w:r>
      <w:r>
        <w:rPr>
          <w:b/>
          <w:bCs/>
          <w:kern w:val="0"/>
          <w:szCs w:val="21"/>
        </w:rPr>
        <w:t>招标人</w:t>
      </w:r>
      <w:r>
        <w:rPr>
          <w:kern w:val="0"/>
          <w:szCs w:val="21"/>
        </w:rPr>
        <w:t>缴纳金额为</w:t>
      </w:r>
      <w:r>
        <w:rPr>
          <w:b/>
          <w:bCs/>
          <w:kern w:val="0"/>
          <w:szCs w:val="21"/>
        </w:rPr>
        <w:t>中标合同价10%</w:t>
      </w:r>
      <w:r>
        <w:rPr>
          <w:kern w:val="0"/>
          <w:szCs w:val="21"/>
        </w:rPr>
        <w:t>的履约保证金，也可自主选择以支票、汇票、本票、保函等非现金形式缴纳或提交。</w:t>
      </w:r>
    </w:p>
    <w:p>
      <w:pPr>
        <w:widowControl/>
        <w:snapToGrid w:val="0"/>
        <w:spacing w:line="420" w:lineRule="exact"/>
        <w:ind w:right="-153" w:firstLine="525" w:firstLineChars="250"/>
        <w:jc w:val="left"/>
        <w:rPr>
          <w:kern w:val="0"/>
          <w:szCs w:val="21"/>
        </w:rPr>
      </w:pPr>
      <w:r>
        <w:rPr>
          <w:rFonts w:hint="eastAsia"/>
          <w:kern w:val="0"/>
          <w:szCs w:val="21"/>
        </w:rPr>
        <w:t>5</w:t>
      </w:r>
      <w:r>
        <w:rPr>
          <w:kern w:val="0"/>
          <w:szCs w:val="21"/>
        </w:rPr>
        <w:t>.3履约保证金在项目通过专家评审后，由乙方申请履约保证金退款，甲方在具备条件后无息退还。</w:t>
      </w:r>
    </w:p>
    <w:p>
      <w:pPr>
        <w:widowControl/>
        <w:snapToGrid w:val="0"/>
        <w:spacing w:line="420" w:lineRule="exact"/>
        <w:ind w:right="-154" w:firstLine="525" w:firstLineChars="250"/>
        <w:jc w:val="left"/>
        <w:rPr>
          <w:kern w:val="0"/>
          <w:szCs w:val="21"/>
        </w:rPr>
      </w:pPr>
      <w:r>
        <w:rPr>
          <w:rFonts w:hint="eastAsia"/>
          <w:kern w:val="0"/>
          <w:szCs w:val="21"/>
        </w:rPr>
        <w:t>6</w:t>
      </w:r>
      <w:r>
        <w:rPr>
          <w:kern w:val="0"/>
          <w:szCs w:val="21"/>
        </w:rPr>
        <w:t xml:space="preserve">.参加询价的供应商若认为询价函的资格要求和技术要求有倾向性或不公正性，可在 </w:t>
      </w:r>
      <w:r>
        <w:rPr>
          <w:b/>
          <w:bCs/>
          <w:kern w:val="0"/>
          <w:szCs w:val="21"/>
        </w:rPr>
        <w:t>2023年</w:t>
      </w:r>
      <w:r>
        <w:rPr>
          <w:rFonts w:hint="eastAsia"/>
          <w:b/>
          <w:bCs/>
          <w:kern w:val="0"/>
          <w:szCs w:val="21"/>
        </w:rPr>
        <w:t>1</w:t>
      </w:r>
      <w:r>
        <w:rPr>
          <w:rFonts w:hint="eastAsia"/>
          <w:b/>
          <w:bCs/>
          <w:kern w:val="0"/>
          <w:szCs w:val="21"/>
          <w:lang w:val="en-US" w:eastAsia="zh-CN"/>
        </w:rPr>
        <w:t>1</w:t>
      </w:r>
      <w:r>
        <w:rPr>
          <w:b/>
          <w:bCs/>
          <w:kern w:val="0"/>
          <w:szCs w:val="21"/>
        </w:rPr>
        <w:t>月</w:t>
      </w:r>
      <w:r>
        <w:rPr>
          <w:rFonts w:hint="eastAsia"/>
          <w:b/>
          <w:bCs/>
          <w:kern w:val="0"/>
          <w:szCs w:val="21"/>
          <w:lang w:val="en-US" w:eastAsia="zh-CN"/>
        </w:rPr>
        <w:t>09</w:t>
      </w:r>
      <w:r>
        <w:rPr>
          <w:b/>
          <w:bCs/>
          <w:kern w:val="0"/>
          <w:szCs w:val="21"/>
        </w:rPr>
        <w:t>日</w:t>
      </w:r>
      <w:r>
        <w:rPr>
          <w:rFonts w:hint="eastAsia"/>
          <w:b/>
          <w:bCs/>
          <w:kern w:val="0"/>
          <w:szCs w:val="21"/>
          <w:lang w:val="en-US" w:eastAsia="zh-CN"/>
        </w:rPr>
        <w:t>11</w:t>
      </w:r>
      <w:r>
        <w:rPr>
          <w:b/>
          <w:bCs/>
          <w:kern w:val="0"/>
          <w:szCs w:val="21"/>
        </w:rPr>
        <w:t>：30之前以书面形式或邮件形式（994093050@qq.com）</w:t>
      </w:r>
      <w:r>
        <w:rPr>
          <w:kern w:val="0"/>
          <w:szCs w:val="21"/>
        </w:rPr>
        <w:t>向我公司提出。对于没有提出澄清要求又参与了该项目的供应商将被视为完全认同该询价函，询价响应文件递交截止期后不再受理针对询价函的相关质疑和投诉。</w:t>
      </w:r>
    </w:p>
    <w:p>
      <w:pPr>
        <w:spacing w:line="420" w:lineRule="exact"/>
        <w:ind w:firstLine="420" w:firstLineChars="200"/>
        <w:rPr>
          <w:kern w:val="0"/>
          <w:szCs w:val="21"/>
        </w:rPr>
      </w:pPr>
      <w:r>
        <w:rPr>
          <w:rFonts w:hint="eastAsia"/>
          <w:kern w:val="0"/>
          <w:szCs w:val="21"/>
        </w:rPr>
        <w:t>7</w:t>
      </w:r>
      <w:r>
        <w:rPr>
          <w:kern w:val="0"/>
          <w:szCs w:val="21"/>
        </w:rPr>
        <w:t>.成交单位需支付成交服务费，</w:t>
      </w:r>
      <w:r>
        <w:rPr>
          <w:szCs w:val="21"/>
        </w:rPr>
        <w:t>按差额定率累进法计算，</w:t>
      </w:r>
      <w:r>
        <w:rPr>
          <w:kern w:val="0"/>
          <w:szCs w:val="21"/>
        </w:rPr>
        <w:t>收费</w:t>
      </w:r>
      <w:r>
        <w:rPr>
          <w:b/>
          <w:szCs w:val="21"/>
        </w:rPr>
        <w:t>按照下列标准下浮40%收取</w:t>
      </w:r>
      <w:r>
        <w:rPr>
          <w:kern w:val="0"/>
          <w:szCs w:val="21"/>
        </w:rPr>
        <w:t>，成交单位应在成交通知书发出后五个工作日内（合同签订前）将中标服务费付至代理机构收取投标保证金的帐户。不足3000元的，按3000元计取。</w:t>
      </w:r>
    </w:p>
    <w:tbl>
      <w:tblPr>
        <w:tblStyle w:val="22"/>
        <w:tblW w:w="6019" w:type="dxa"/>
        <w:tblInd w:w="16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1"/>
        <w:gridCol w:w="2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391" w:type="dxa"/>
          </w:tcPr>
          <w:p>
            <w:pPr>
              <w:spacing w:line="420" w:lineRule="exact"/>
              <w:ind w:firstLine="945" w:firstLineChars="450"/>
              <w:rPr>
                <w:bCs/>
                <w:szCs w:val="21"/>
              </w:rPr>
            </w:pPr>
            <w:r>
              <w:rPr>
                <w:bCs/>
                <w:szCs w:val="21"/>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-4445</wp:posOffset>
                      </wp:positionV>
                      <wp:extent cx="1356995" cy="1645285"/>
                      <wp:effectExtent l="3810" t="3175" r="10795" b="12700"/>
                      <wp:wrapNone/>
                      <wp:docPr id="1" name="Line 47"/>
                      <wp:cNvGraphicFramePr/>
                      <a:graphic xmlns:a="http://schemas.openxmlformats.org/drawingml/2006/main">
                        <a:graphicData uri="http://schemas.microsoft.com/office/word/2010/wordprocessingShape">
                          <wps:wsp>
                            <wps:cNvCnPr/>
                            <wps:spPr>
                              <a:xfrm flipH="1" flipV="1">
                                <a:off x="0" y="0"/>
                                <a:ext cx="1356995" cy="164528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Line 47" o:spid="_x0000_s1026" o:spt="20" style="position:absolute;left:0pt;flip:x y;margin-left:27pt;margin-top:-0.35pt;height:129.55pt;width:106.85pt;z-index:251659264;mso-width-relative:page;mso-height-relative:page;" filled="f" stroked="t" coordsize="21600,21600" o:gfxdata="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AqwdHUAAAA&#10;CAEAAA8AAAAAAAAAAQAgAAAAIgAAAGRycy9kb3ducmV2LnhtbFBLAQIUABQAAAAIAIdO4kAtUOsh&#10;6AEAAPYDAAAOAAAAAAAAAAEAIAAAACMBAABkcnMvZTJvRG9jLnhtbFBLBQYAAAAABgAGAFkBAAB9&#10;BQAAAAA=&#10;">
                      <v:fill on="f" focussize="0,0"/>
                      <v:stroke color="#000000" joinstyle="round"/>
                      <v:imagedata o:title=""/>
                      <o:lock v:ext="edit" aspectratio="f"/>
                    </v:line>
                  </w:pict>
                </mc:Fallback>
              </mc:AlternateContent>
            </w:r>
            <w:r>
              <w:rPr>
                <w:bCs/>
                <w:szCs w:val="21"/>
              </w:rPr>
              <mc:AlternateContent>
                <mc:Choice Requires="wps">
                  <w:drawing>
                    <wp:anchor distT="0" distB="0" distL="114300" distR="114300" simplePos="0" relativeHeight="251660288" behindDoc="0" locked="0" layoutInCell="1" allowOverlap="1">
                      <wp:simplePos x="0" y="0"/>
                      <wp:positionH relativeFrom="column">
                        <wp:posOffset>-112395</wp:posOffset>
                      </wp:positionH>
                      <wp:positionV relativeFrom="paragraph">
                        <wp:posOffset>-4445</wp:posOffset>
                      </wp:positionV>
                      <wp:extent cx="635" cy="0"/>
                      <wp:effectExtent l="0" t="0" r="0" b="0"/>
                      <wp:wrapNone/>
                      <wp:docPr id="2" name="Line 45"/>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Line 45" o:spid="_x0000_s1026" o:spt="20" style="position:absolute;left:0pt;margin-left:-8.85pt;margin-top:-0.35pt;height:0pt;width:0.05pt;z-index:251660288;mso-width-relative:page;mso-height-relative:page;" filled="f" stroked="t" coordsize="21600,21600" o:gfxdata="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6JQU3TAAAABwEAAA8AAAAAAAAAAQAgAAAAIgAA&#10;AGRycy9kb3ducmV2LnhtbFBLAQIUABQAAAAIAIdO4kCF5ueY1AEAANgDAAAOAAAAAAAAAAEAIAAA&#10;ACIBAABkcnMvZTJvRG9jLnhtbFBLBQYAAAAABgAGAFkBAABoBQAAAAA=&#10;">
                      <v:fill on="f" focussize="0,0"/>
                      <v:stroke color="#000000" joinstyle="round"/>
                      <v:imagedata o:title=""/>
                      <o:lock v:ext="edit" aspectratio="f"/>
                    </v:line>
                  </w:pict>
                </mc:Fallback>
              </mc:AlternateContent>
            </w:r>
            <w:r>
              <w:rPr>
                <w:bCs/>
                <w:szCs w:val="21"/>
              </w:rPr>
              <w:t>服</w:t>
            </w:r>
          </w:p>
          <w:p>
            <w:pPr>
              <w:spacing w:line="420" w:lineRule="exact"/>
              <w:ind w:firstLine="210" w:firstLineChars="100"/>
              <w:rPr>
                <w:bCs/>
                <w:szCs w:val="21"/>
              </w:rPr>
            </w:pPr>
            <w:r>
              <w:rPr>
                <w:bCs/>
                <w:szCs w:val="21"/>
              </w:rPr>
              <w:t>费　　　  务</w:t>
            </w:r>
          </w:p>
          <w:p>
            <w:pPr>
              <w:spacing w:line="420" w:lineRule="exact"/>
              <w:ind w:firstLine="1050" w:firstLineChars="500"/>
              <w:rPr>
                <w:bCs/>
                <w:szCs w:val="21"/>
              </w:rPr>
            </w:pPr>
            <w:r>
              <w:rPr>
                <w:bCs/>
                <w:szCs w:val="21"/>
              </w:rPr>
              <mc:AlternateContent>
                <mc:Choice Requires="wps">
                  <w:drawing>
                    <wp:anchor distT="0" distB="0" distL="114300" distR="114300" simplePos="0" relativeHeight="251661312" behindDoc="0" locked="0" layoutInCell="1" allowOverlap="1">
                      <wp:simplePos x="0" y="0"/>
                      <wp:positionH relativeFrom="column">
                        <wp:posOffset>-82550</wp:posOffset>
                      </wp:positionH>
                      <wp:positionV relativeFrom="paragraph">
                        <wp:posOffset>90805</wp:posOffset>
                      </wp:positionV>
                      <wp:extent cx="1763395" cy="997585"/>
                      <wp:effectExtent l="2540" t="4445" r="1905" b="3810"/>
                      <wp:wrapNone/>
                      <wp:docPr id="3" name="Line 46"/>
                      <wp:cNvGraphicFramePr/>
                      <a:graphic xmlns:a="http://schemas.openxmlformats.org/drawingml/2006/main">
                        <a:graphicData uri="http://schemas.microsoft.com/office/word/2010/wordprocessingShape">
                          <wps:wsp>
                            <wps:cNvCnPr/>
                            <wps:spPr>
                              <a:xfrm flipH="1" flipV="1">
                                <a:off x="0" y="0"/>
                                <a:ext cx="1763395" cy="99758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Line 46" o:spid="_x0000_s1026" o:spt="20" style="position:absolute;left:0pt;flip:x y;margin-left:-6.5pt;margin-top:7.15pt;height:78.55pt;width:138.85pt;z-index:251661312;mso-width-relative:page;mso-height-relative:page;" filled="f" stroked="t" coordsize="21600,21600" o:gfxdata="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7vf7PVAAAA&#10;CgEAAA8AAAAAAAAAAQAgAAAAIgAAAGRycy9kb3ducmV2LnhtbFBLAQIUABQAAAAIAIdO4kAW00Zf&#10;5wEAAPUDAAAOAAAAAAAAAAEAIAAAACQBAABkcnMvZTJvRG9jLnhtbFBLBQYAAAAABgAGAFkBAAB9&#10;BQAAAAA=&#10;">
                      <v:fill on="f" focussize="0,0"/>
                      <v:stroke color="#000000" joinstyle="round"/>
                      <v:imagedata o:title=""/>
                      <o:lock v:ext="edit" aspectratio="f"/>
                    </v:line>
                  </w:pict>
                </mc:Fallback>
              </mc:AlternateContent>
            </w:r>
            <w:r>
              <w:rPr>
                <w:bCs/>
                <w:szCs w:val="21"/>
              </w:rPr>
              <w:t>　   类</w:t>
            </w:r>
          </w:p>
          <w:p>
            <w:pPr>
              <w:spacing w:line="420" w:lineRule="exact"/>
              <w:ind w:firstLine="1050" w:firstLineChars="500"/>
              <w:rPr>
                <w:bCs/>
                <w:szCs w:val="21"/>
              </w:rPr>
            </w:pPr>
            <w:r>
              <w:rPr>
                <w:bCs/>
                <w:szCs w:val="21"/>
              </w:rPr>
              <w:t>率　    型</w:t>
            </w:r>
          </w:p>
          <w:p>
            <w:pPr>
              <w:spacing w:line="420" w:lineRule="exact"/>
              <w:ind w:firstLine="1050" w:firstLineChars="500"/>
              <w:rPr>
                <w:bCs/>
                <w:szCs w:val="21"/>
              </w:rPr>
            </w:pPr>
            <w:r>
              <w:rPr>
                <w:bCs/>
                <w:szCs w:val="21"/>
              </w:rPr>
              <w:t>　　　　</w:t>
            </w:r>
          </w:p>
          <w:p>
            <w:pPr>
              <w:spacing w:line="420" w:lineRule="exact"/>
              <w:rPr>
                <w:bCs/>
                <w:szCs w:val="21"/>
              </w:rPr>
            </w:pPr>
            <w:r>
              <w:rPr>
                <w:bCs/>
                <w:szCs w:val="21"/>
              </w:rPr>
              <w:t>中标金额（万元）</w:t>
            </w:r>
          </w:p>
        </w:tc>
        <w:tc>
          <w:tcPr>
            <w:tcW w:w="2628" w:type="dxa"/>
            <w:vAlign w:val="center"/>
          </w:tcPr>
          <w:p>
            <w:pPr>
              <w:spacing w:line="420" w:lineRule="exact"/>
              <w:jc w:val="center"/>
              <w:rPr>
                <w:bCs/>
                <w:szCs w:val="21"/>
              </w:rPr>
            </w:pPr>
            <w:r>
              <w:rPr>
                <w:bCs/>
                <w:szCs w:val="21"/>
              </w:rPr>
              <w:t>服务招标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3391" w:type="dxa"/>
          </w:tcPr>
          <w:p>
            <w:pPr>
              <w:spacing w:line="420" w:lineRule="exact"/>
              <w:jc w:val="center"/>
              <w:rPr>
                <w:szCs w:val="21"/>
              </w:rPr>
            </w:pPr>
            <w:r>
              <w:rPr>
                <w:szCs w:val="21"/>
              </w:rPr>
              <w:t>100（含，下同）以下</w:t>
            </w:r>
          </w:p>
        </w:tc>
        <w:tc>
          <w:tcPr>
            <w:tcW w:w="2628" w:type="dxa"/>
          </w:tcPr>
          <w:p>
            <w:pPr>
              <w:spacing w:line="420" w:lineRule="exact"/>
              <w:jc w:val="center"/>
              <w:rPr>
                <w:szCs w:val="21"/>
              </w:rPr>
            </w:pPr>
            <w:r>
              <w:rPr>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3391" w:type="dxa"/>
          </w:tcPr>
          <w:p>
            <w:pPr>
              <w:spacing w:line="420" w:lineRule="exact"/>
              <w:jc w:val="center"/>
              <w:rPr>
                <w:szCs w:val="21"/>
              </w:rPr>
            </w:pPr>
            <w:r>
              <w:rPr>
                <w:szCs w:val="21"/>
              </w:rPr>
              <w:t>100-500</w:t>
            </w:r>
          </w:p>
        </w:tc>
        <w:tc>
          <w:tcPr>
            <w:tcW w:w="2628" w:type="dxa"/>
          </w:tcPr>
          <w:p>
            <w:pPr>
              <w:spacing w:line="420" w:lineRule="exact"/>
              <w:jc w:val="center"/>
              <w:rPr>
                <w:szCs w:val="21"/>
              </w:rPr>
            </w:pPr>
            <w:r>
              <w:rPr>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3391" w:type="dxa"/>
          </w:tcPr>
          <w:p>
            <w:pPr>
              <w:spacing w:line="420" w:lineRule="exact"/>
              <w:jc w:val="center"/>
              <w:rPr>
                <w:szCs w:val="21"/>
              </w:rPr>
            </w:pPr>
            <w:r>
              <w:rPr>
                <w:szCs w:val="21"/>
              </w:rPr>
              <w:t xml:space="preserve"> 500-1000</w:t>
            </w:r>
          </w:p>
        </w:tc>
        <w:tc>
          <w:tcPr>
            <w:tcW w:w="2628" w:type="dxa"/>
          </w:tcPr>
          <w:p>
            <w:pPr>
              <w:spacing w:line="420" w:lineRule="exact"/>
              <w:jc w:val="center"/>
              <w:rPr>
                <w:szCs w:val="21"/>
              </w:rPr>
            </w:pPr>
            <w:r>
              <w:rPr>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91" w:type="dxa"/>
          </w:tcPr>
          <w:p>
            <w:pPr>
              <w:spacing w:line="420" w:lineRule="exact"/>
              <w:jc w:val="center"/>
              <w:rPr>
                <w:szCs w:val="21"/>
              </w:rPr>
            </w:pPr>
            <w:r>
              <w:rPr>
                <w:szCs w:val="21"/>
              </w:rPr>
              <w:t>……</w:t>
            </w:r>
          </w:p>
        </w:tc>
        <w:tc>
          <w:tcPr>
            <w:tcW w:w="2628" w:type="dxa"/>
          </w:tcPr>
          <w:p>
            <w:pPr>
              <w:spacing w:line="420" w:lineRule="exact"/>
              <w:jc w:val="center"/>
              <w:rPr>
                <w:szCs w:val="21"/>
              </w:rPr>
            </w:pPr>
            <w:r>
              <w:rPr>
                <w:szCs w:val="21"/>
              </w:rPr>
              <w:t>……</w:t>
            </w:r>
          </w:p>
        </w:tc>
      </w:tr>
    </w:tbl>
    <w:p>
      <w:pPr>
        <w:spacing w:line="420" w:lineRule="exact"/>
        <w:ind w:firstLine="422" w:firstLineChars="200"/>
        <w:rPr>
          <w:b/>
          <w:bCs/>
          <w:kern w:val="0"/>
          <w:szCs w:val="21"/>
        </w:rPr>
      </w:pPr>
      <w:bookmarkStart w:id="0" w:name="OLE_LINK16"/>
      <w:r>
        <w:rPr>
          <w:rFonts w:hint="eastAsia"/>
          <w:b/>
          <w:bCs/>
          <w:kern w:val="0"/>
          <w:szCs w:val="21"/>
        </w:rPr>
        <w:t>8</w:t>
      </w:r>
      <w:r>
        <w:rPr>
          <w:b/>
          <w:bCs/>
          <w:kern w:val="0"/>
          <w:szCs w:val="21"/>
        </w:rPr>
        <w:t>.评委费由中标单位按实支付给招标代理机构。</w:t>
      </w:r>
      <w:bookmarkEnd w:id="0"/>
    </w:p>
    <w:p>
      <w:pPr>
        <w:spacing w:line="420" w:lineRule="exact"/>
        <w:ind w:firstLine="420" w:firstLineChars="200"/>
        <w:rPr>
          <w:szCs w:val="21"/>
        </w:rPr>
      </w:pPr>
      <w:r>
        <w:rPr>
          <w:rFonts w:hint="eastAsia"/>
          <w:kern w:val="0"/>
          <w:szCs w:val="21"/>
        </w:rPr>
        <w:t>9</w:t>
      </w:r>
      <w:r>
        <w:rPr>
          <w:kern w:val="0"/>
          <w:szCs w:val="21"/>
        </w:rPr>
        <w:t>.联系方式</w:t>
      </w:r>
    </w:p>
    <w:p>
      <w:pPr>
        <w:pStyle w:val="8"/>
        <w:tabs>
          <w:tab w:val="left" w:pos="525"/>
        </w:tabs>
        <w:snapToGrid w:val="0"/>
        <w:spacing w:line="420" w:lineRule="exact"/>
        <w:ind w:firstLine="0"/>
        <w:rPr>
          <w:rFonts w:ascii="Times New Roman" w:hAnsi="Times New Roman"/>
          <w:spacing w:val="0"/>
          <w:sz w:val="21"/>
          <w:szCs w:val="21"/>
        </w:rPr>
      </w:pPr>
      <w:r>
        <w:rPr>
          <w:rFonts w:ascii="Times New Roman" w:hAnsi="Times New Roman"/>
          <w:spacing w:val="0"/>
          <w:kern w:val="0"/>
          <w:sz w:val="21"/>
          <w:szCs w:val="21"/>
        </w:rPr>
        <w:tab/>
      </w:r>
      <w:r>
        <w:rPr>
          <w:rFonts w:ascii="Times New Roman" w:hAnsi="Times New Roman"/>
          <w:spacing w:val="0"/>
          <w:kern w:val="0"/>
          <w:sz w:val="21"/>
          <w:szCs w:val="21"/>
        </w:rPr>
        <w:t>（1）采购单</w:t>
      </w:r>
      <w:r>
        <w:rPr>
          <w:rFonts w:ascii="Times New Roman" w:hAnsi="Times New Roman"/>
          <w:spacing w:val="0"/>
          <w:sz w:val="21"/>
          <w:szCs w:val="21"/>
        </w:rPr>
        <w:t>位</w:t>
      </w:r>
      <w:r>
        <w:rPr>
          <w:rFonts w:ascii="Times New Roman" w:hAnsi="Times New Roman"/>
          <w:spacing w:val="0"/>
          <w:kern w:val="0"/>
          <w:sz w:val="21"/>
          <w:szCs w:val="21"/>
        </w:rPr>
        <w:t xml:space="preserve">：常州环保服务有限公司 </w:t>
      </w:r>
    </w:p>
    <w:p>
      <w:pPr>
        <w:pStyle w:val="8"/>
        <w:tabs>
          <w:tab w:val="left" w:pos="525"/>
        </w:tabs>
        <w:snapToGrid w:val="0"/>
        <w:spacing w:line="420" w:lineRule="exact"/>
        <w:ind w:firstLine="930" w:firstLineChars="443"/>
        <w:rPr>
          <w:rFonts w:ascii="Times New Roman" w:hAnsi="Times New Roman"/>
          <w:spacing w:val="0"/>
          <w:sz w:val="21"/>
          <w:szCs w:val="21"/>
        </w:rPr>
      </w:pPr>
      <w:r>
        <w:rPr>
          <w:rFonts w:ascii="Times New Roman" w:hAnsi="Times New Roman"/>
          <w:spacing w:val="0"/>
          <w:kern w:val="0"/>
          <w:sz w:val="21"/>
          <w:szCs w:val="21"/>
        </w:rPr>
        <w:t xml:space="preserve"> 联系人：郑工        电话</w:t>
      </w:r>
      <w:r>
        <w:rPr>
          <w:rFonts w:ascii="Times New Roman" w:hAnsi="Times New Roman"/>
          <w:spacing w:val="0"/>
          <w:sz w:val="21"/>
          <w:szCs w:val="21"/>
        </w:rPr>
        <w:t>：15240534409</w:t>
      </w:r>
    </w:p>
    <w:p>
      <w:pPr>
        <w:widowControl/>
        <w:snapToGrid w:val="0"/>
        <w:spacing w:line="420" w:lineRule="exact"/>
        <w:ind w:right="-154" w:firstLine="525" w:firstLineChars="250"/>
        <w:jc w:val="left"/>
        <w:rPr>
          <w:kern w:val="0"/>
          <w:szCs w:val="21"/>
        </w:rPr>
      </w:pPr>
      <w:r>
        <w:rPr>
          <w:kern w:val="0"/>
          <w:szCs w:val="21"/>
        </w:rPr>
        <w:t>（2）采购代理机构：</w:t>
      </w:r>
      <w:r>
        <w:rPr>
          <w:szCs w:val="21"/>
        </w:rPr>
        <w:t>常州市恒卓建设工程管理咨询有限公司</w:t>
      </w:r>
    </w:p>
    <w:p>
      <w:pPr>
        <w:widowControl/>
        <w:snapToGrid w:val="0"/>
        <w:spacing w:line="420" w:lineRule="exact"/>
        <w:ind w:right="-154" w:firstLine="945" w:firstLineChars="450"/>
        <w:jc w:val="left"/>
        <w:rPr>
          <w:kern w:val="0"/>
          <w:szCs w:val="21"/>
        </w:rPr>
      </w:pPr>
      <w:r>
        <w:rPr>
          <w:kern w:val="0"/>
          <w:szCs w:val="21"/>
        </w:rPr>
        <w:t>联系人：曹工            电话：</w:t>
      </w:r>
      <w:r>
        <w:rPr>
          <w:szCs w:val="21"/>
        </w:rPr>
        <w:t>0519-83999268</w:t>
      </w:r>
    </w:p>
    <w:p>
      <w:pPr>
        <w:widowControl/>
        <w:snapToGrid w:val="0"/>
        <w:spacing w:line="420" w:lineRule="exact"/>
        <w:rPr>
          <w:b/>
          <w:bCs/>
          <w:szCs w:val="21"/>
        </w:rPr>
      </w:pPr>
      <w:r>
        <w:rPr>
          <w:b/>
          <w:bCs/>
          <w:szCs w:val="21"/>
        </w:rPr>
        <w:t>五、报价规则</w:t>
      </w:r>
    </w:p>
    <w:p>
      <w:pPr>
        <w:spacing w:line="420" w:lineRule="exact"/>
        <w:ind w:firstLine="420" w:firstLineChars="200"/>
        <w:jc w:val="left"/>
        <w:rPr>
          <w:szCs w:val="21"/>
        </w:rPr>
      </w:pPr>
      <w:r>
        <w:rPr>
          <w:szCs w:val="21"/>
        </w:rPr>
        <w:t>本项目投标报价为</w:t>
      </w:r>
      <w:r>
        <w:rPr>
          <w:b/>
          <w:bCs/>
          <w:szCs w:val="21"/>
        </w:rPr>
        <w:t>固定单价</w:t>
      </w:r>
      <w:r>
        <w:rPr>
          <w:szCs w:val="21"/>
        </w:rPr>
        <w:t>，结算依据报价清单中各子项内容、钻井数量和钻探深度按实结算，投标总价应包括招标文件所确定的招标范围相应服务的提供、人员（包括工资和补贴）、办公场所及设施、保险、劳保、管理、各种税费、利润、税金、政策性文件规定及合同包含的所有风险、责任等各项应有费用，以及为完成该项服务项目所涉及到的一切相关费用（含所有资料获取费用），招标人不再支付其他任何费用。</w:t>
      </w:r>
    </w:p>
    <w:p>
      <w:pPr>
        <w:spacing w:line="420" w:lineRule="exact"/>
        <w:ind w:firstLine="420" w:firstLineChars="200"/>
        <w:jc w:val="left"/>
        <w:rPr>
          <w:szCs w:val="21"/>
        </w:rPr>
      </w:pPr>
      <w:r>
        <w:rPr>
          <w:szCs w:val="21"/>
        </w:rPr>
        <w:t>工程量及报价清单如下。</w:t>
      </w:r>
      <w:r>
        <w:rPr>
          <w:b/>
          <w:bCs/>
          <w:szCs w:val="21"/>
        </w:rPr>
        <w:t>投标单位的总价不能超过最高限价（212100元）</w:t>
      </w:r>
      <w:r>
        <w:rPr>
          <w:szCs w:val="21"/>
        </w:rPr>
        <w:t>，报价货币为人民币，评标时以人民币为准。</w:t>
      </w:r>
    </w:p>
    <w:p>
      <w:pPr>
        <w:pStyle w:val="67"/>
        <w:rPr>
          <w:rFonts w:cs="Times New Roman"/>
        </w:rPr>
      </w:pPr>
      <w:r>
        <w:rPr>
          <w:rFonts w:cs="Times New Roman"/>
        </w:rPr>
        <w:t xml:space="preserve">表 </w:t>
      </w:r>
      <w:r>
        <w:rPr>
          <w:rFonts w:cs="Times New Roman"/>
        </w:rPr>
        <w:fldChar w:fldCharType="begin"/>
      </w:r>
      <w:r>
        <w:rPr>
          <w:rFonts w:cs="Times New Roman"/>
        </w:rPr>
        <w:instrText xml:space="preserve"> SEQ 表 \* ARABIC </w:instrText>
      </w:r>
      <w:r>
        <w:rPr>
          <w:rFonts w:cs="Times New Roman"/>
        </w:rPr>
        <w:fldChar w:fldCharType="separate"/>
      </w:r>
      <w:r>
        <w:rPr>
          <w:rFonts w:cs="Times New Roman"/>
        </w:rPr>
        <w:t>1</w:t>
      </w:r>
      <w:r>
        <w:rPr>
          <w:rFonts w:cs="Times New Roman"/>
        </w:rPr>
        <w:fldChar w:fldCharType="end"/>
      </w:r>
      <w:r>
        <w:rPr>
          <w:rFonts w:cs="Times New Roman"/>
        </w:rPr>
        <w:t xml:space="preserve"> 工程量及报价清单</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1399"/>
        <w:gridCol w:w="789"/>
        <w:gridCol w:w="789"/>
        <w:gridCol w:w="1342"/>
        <w:gridCol w:w="1342"/>
        <w:gridCol w:w="2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51" w:type="pct"/>
            <w:shd w:val="clear" w:color="000000" w:fill="FFFFFF"/>
            <w:vAlign w:val="center"/>
          </w:tcPr>
          <w:p>
            <w:pPr>
              <w:pStyle w:val="15"/>
              <w:rPr>
                <w:b/>
                <w:sz w:val="21"/>
                <w:szCs w:val="21"/>
              </w:rPr>
            </w:pPr>
            <w:r>
              <w:rPr>
                <w:b/>
                <w:sz w:val="21"/>
                <w:szCs w:val="21"/>
              </w:rPr>
              <w:t>序号</w:t>
            </w:r>
          </w:p>
        </w:tc>
        <w:tc>
          <w:tcPr>
            <w:tcW w:w="757" w:type="pct"/>
            <w:shd w:val="clear" w:color="000000" w:fill="FFFFFF"/>
            <w:vAlign w:val="center"/>
          </w:tcPr>
          <w:p>
            <w:pPr>
              <w:pStyle w:val="15"/>
              <w:rPr>
                <w:b/>
                <w:sz w:val="21"/>
                <w:szCs w:val="21"/>
              </w:rPr>
            </w:pPr>
            <w:r>
              <w:rPr>
                <w:b/>
                <w:sz w:val="21"/>
                <w:szCs w:val="21"/>
              </w:rPr>
              <w:t>项目</w:t>
            </w:r>
          </w:p>
        </w:tc>
        <w:tc>
          <w:tcPr>
            <w:tcW w:w="427" w:type="pct"/>
            <w:shd w:val="clear" w:color="000000" w:fill="FFFFFF"/>
            <w:vAlign w:val="center"/>
          </w:tcPr>
          <w:p>
            <w:pPr>
              <w:pStyle w:val="15"/>
              <w:rPr>
                <w:b/>
                <w:sz w:val="21"/>
                <w:szCs w:val="21"/>
              </w:rPr>
            </w:pPr>
            <w:r>
              <w:rPr>
                <w:b/>
                <w:sz w:val="21"/>
                <w:szCs w:val="21"/>
              </w:rPr>
              <w:t>数量</w:t>
            </w:r>
          </w:p>
        </w:tc>
        <w:tc>
          <w:tcPr>
            <w:tcW w:w="427" w:type="pct"/>
            <w:shd w:val="clear" w:color="000000" w:fill="FFFFFF"/>
            <w:vAlign w:val="center"/>
          </w:tcPr>
          <w:p>
            <w:pPr>
              <w:pStyle w:val="15"/>
              <w:rPr>
                <w:b/>
                <w:sz w:val="21"/>
                <w:szCs w:val="21"/>
              </w:rPr>
            </w:pPr>
            <w:r>
              <w:rPr>
                <w:b/>
                <w:sz w:val="21"/>
                <w:szCs w:val="21"/>
              </w:rPr>
              <w:t>单位</w:t>
            </w:r>
          </w:p>
        </w:tc>
        <w:tc>
          <w:tcPr>
            <w:tcW w:w="726" w:type="pct"/>
            <w:shd w:val="clear" w:color="000000" w:fill="FFFFFF"/>
            <w:vAlign w:val="center"/>
          </w:tcPr>
          <w:p>
            <w:pPr>
              <w:pStyle w:val="15"/>
              <w:rPr>
                <w:b/>
                <w:sz w:val="21"/>
                <w:szCs w:val="21"/>
              </w:rPr>
            </w:pPr>
            <w:r>
              <w:rPr>
                <w:b/>
                <w:sz w:val="21"/>
                <w:szCs w:val="21"/>
              </w:rPr>
              <w:t>单价（元）</w:t>
            </w:r>
          </w:p>
        </w:tc>
        <w:tc>
          <w:tcPr>
            <w:tcW w:w="726" w:type="pct"/>
            <w:shd w:val="clear" w:color="000000" w:fill="FFFFFF"/>
            <w:vAlign w:val="center"/>
          </w:tcPr>
          <w:p>
            <w:pPr>
              <w:pStyle w:val="15"/>
              <w:rPr>
                <w:b/>
                <w:sz w:val="21"/>
                <w:szCs w:val="21"/>
              </w:rPr>
            </w:pPr>
            <w:r>
              <w:rPr>
                <w:b/>
                <w:sz w:val="21"/>
                <w:szCs w:val="21"/>
              </w:rPr>
              <w:t>合价（元）</w:t>
            </w:r>
          </w:p>
        </w:tc>
        <w:tc>
          <w:tcPr>
            <w:tcW w:w="1585" w:type="pct"/>
            <w:shd w:val="clear" w:color="000000" w:fill="FFFFFF"/>
            <w:vAlign w:val="center"/>
          </w:tcPr>
          <w:p>
            <w:pPr>
              <w:pStyle w:val="15"/>
              <w:rPr>
                <w:b/>
                <w:sz w:val="21"/>
                <w:szCs w:val="21"/>
              </w:rPr>
            </w:pPr>
            <w:r>
              <w:rPr>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shd w:val="clear" w:color="000000" w:fill="FFFFFF"/>
            <w:vAlign w:val="center"/>
          </w:tcPr>
          <w:p>
            <w:pPr>
              <w:pStyle w:val="15"/>
              <w:rPr>
                <w:sz w:val="21"/>
                <w:szCs w:val="21"/>
              </w:rPr>
            </w:pPr>
            <w:r>
              <w:rPr>
                <w:sz w:val="21"/>
                <w:szCs w:val="21"/>
              </w:rPr>
              <w:t>1</w:t>
            </w:r>
          </w:p>
        </w:tc>
        <w:tc>
          <w:tcPr>
            <w:tcW w:w="4649" w:type="pct"/>
            <w:gridSpan w:val="6"/>
            <w:shd w:val="clear" w:color="000000" w:fill="FFFFFF"/>
            <w:vAlign w:val="center"/>
          </w:tcPr>
          <w:p>
            <w:pPr>
              <w:pStyle w:val="15"/>
              <w:rPr>
                <w:b/>
                <w:sz w:val="21"/>
                <w:szCs w:val="21"/>
              </w:rPr>
            </w:pPr>
            <w:r>
              <w:rPr>
                <w:b/>
                <w:sz w:val="21"/>
                <w:szCs w:val="21"/>
              </w:rPr>
              <w:t>直推式土壤取样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shd w:val="clear" w:color="000000" w:fill="FFFFFF"/>
            <w:vAlign w:val="center"/>
          </w:tcPr>
          <w:p>
            <w:pPr>
              <w:pStyle w:val="15"/>
              <w:rPr>
                <w:sz w:val="21"/>
                <w:szCs w:val="21"/>
              </w:rPr>
            </w:pPr>
            <w:r>
              <w:rPr>
                <w:sz w:val="21"/>
                <w:szCs w:val="21"/>
              </w:rPr>
              <w:t>1.1</w:t>
            </w:r>
          </w:p>
        </w:tc>
        <w:tc>
          <w:tcPr>
            <w:tcW w:w="757" w:type="pct"/>
            <w:shd w:val="clear" w:color="000000" w:fill="FFFFFF"/>
            <w:vAlign w:val="center"/>
          </w:tcPr>
          <w:p>
            <w:pPr>
              <w:pStyle w:val="15"/>
              <w:rPr>
                <w:sz w:val="21"/>
                <w:szCs w:val="21"/>
              </w:rPr>
            </w:pPr>
            <w:r>
              <w:rPr>
                <w:sz w:val="21"/>
                <w:szCs w:val="21"/>
              </w:rPr>
              <w:t>直推式土壤取样</w:t>
            </w:r>
          </w:p>
        </w:tc>
        <w:tc>
          <w:tcPr>
            <w:tcW w:w="427" w:type="pct"/>
            <w:shd w:val="clear" w:color="000000" w:fill="FFFFFF"/>
            <w:vAlign w:val="center"/>
          </w:tcPr>
          <w:p>
            <w:pPr>
              <w:pStyle w:val="15"/>
              <w:rPr>
                <w:sz w:val="21"/>
                <w:szCs w:val="21"/>
              </w:rPr>
            </w:pPr>
            <w:r>
              <w:rPr>
                <w:sz w:val="21"/>
                <w:szCs w:val="21"/>
              </w:rPr>
              <w:t>1050</w:t>
            </w:r>
          </w:p>
        </w:tc>
        <w:tc>
          <w:tcPr>
            <w:tcW w:w="427" w:type="pct"/>
            <w:shd w:val="clear" w:color="000000" w:fill="FFFFFF"/>
            <w:vAlign w:val="center"/>
          </w:tcPr>
          <w:p>
            <w:pPr>
              <w:pStyle w:val="15"/>
              <w:rPr>
                <w:sz w:val="21"/>
                <w:szCs w:val="21"/>
              </w:rPr>
            </w:pPr>
            <w:r>
              <w:rPr>
                <w:sz w:val="21"/>
                <w:szCs w:val="21"/>
              </w:rPr>
              <w:t>米</w:t>
            </w:r>
          </w:p>
        </w:tc>
        <w:tc>
          <w:tcPr>
            <w:tcW w:w="726" w:type="pct"/>
            <w:shd w:val="clear" w:color="auto" w:fill="auto"/>
            <w:vAlign w:val="center"/>
          </w:tcPr>
          <w:p>
            <w:pPr>
              <w:pStyle w:val="15"/>
              <w:rPr>
                <w:sz w:val="21"/>
                <w:szCs w:val="21"/>
              </w:rPr>
            </w:pPr>
          </w:p>
        </w:tc>
        <w:tc>
          <w:tcPr>
            <w:tcW w:w="726" w:type="pct"/>
            <w:shd w:val="clear" w:color="auto" w:fill="auto"/>
            <w:vAlign w:val="center"/>
          </w:tcPr>
          <w:p>
            <w:pPr>
              <w:pStyle w:val="15"/>
              <w:rPr>
                <w:sz w:val="21"/>
                <w:szCs w:val="21"/>
              </w:rPr>
            </w:pPr>
          </w:p>
        </w:tc>
        <w:tc>
          <w:tcPr>
            <w:tcW w:w="1585" w:type="pct"/>
            <w:shd w:val="clear" w:color="auto" w:fill="auto"/>
            <w:vAlign w:val="center"/>
          </w:tcPr>
          <w:p>
            <w:pPr>
              <w:pStyle w:val="15"/>
              <w:rPr>
                <w:sz w:val="21"/>
                <w:szCs w:val="21"/>
              </w:rPr>
            </w:pPr>
            <w:r>
              <w:rPr>
                <w:sz w:val="21"/>
                <w:szCs w:val="21"/>
              </w:rPr>
              <w:t>钻杆外径85mm，内径69mm；取样管外径53mm，内径50mm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shd w:val="clear" w:color="000000" w:fill="FFFFFF"/>
            <w:vAlign w:val="center"/>
          </w:tcPr>
          <w:p>
            <w:pPr>
              <w:pStyle w:val="15"/>
              <w:rPr>
                <w:sz w:val="21"/>
                <w:szCs w:val="21"/>
              </w:rPr>
            </w:pPr>
            <w:r>
              <w:rPr>
                <w:sz w:val="21"/>
                <w:szCs w:val="21"/>
              </w:rPr>
              <w:t>1.2</w:t>
            </w:r>
          </w:p>
        </w:tc>
        <w:tc>
          <w:tcPr>
            <w:tcW w:w="757" w:type="pct"/>
            <w:shd w:val="clear" w:color="000000" w:fill="FFFFFF"/>
            <w:vAlign w:val="center"/>
          </w:tcPr>
          <w:p>
            <w:pPr>
              <w:pStyle w:val="15"/>
              <w:rPr>
                <w:sz w:val="21"/>
                <w:szCs w:val="21"/>
              </w:rPr>
            </w:pPr>
            <w:r>
              <w:rPr>
                <w:sz w:val="21"/>
                <w:szCs w:val="21"/>
              </w:rPr>
              <w:t>挖机使用</w:t>
            </w:r>
          </w:p>
        </w:tc>
        <w:tc>
          <w:tcPr>
            <w:tcW w:w="427" w:type="pct"/>
            <w:shd w:val="clear" w:color="000000" w:fill="FFFFFF"/>
            <w:vAlign w:val="center"/>
          </w:tcPr>
          <w:p>
            <w:pPr>
              <w:pStyle w:val="15"/>
              <w:rPr>
                <w:sz w:val="21"/>
                <w:szCs w:val="21"/>
              </w:rPr>
            </w:pPr>
            <w:r>
              <w:rPr>
                <w:sz w:val="21"/>
                <w:szCs w:val="21"/>
              </w:rPr>
              <w:t>5</w:t>
            </w:r>
          </w:p>
        </w:tc>
        <w:tc>
          <w:tcPr>
            <w:tcW w:w="427" w:type="pct"/>
            <w:shd w:val="clear" w:color="000000" w:fill="FFFFFF"/>
            <w:vAlign w:val="center"/>
          </w:tcPr>
          <w:p>
            <w:pPr>
              <w:pStyle w:val="15"/>
              <w:rPr>
                <w:sz w:val="21"/>
                <w:szCs w:val="21"/>
              </w:rPr>
            </w:pPr>
            <w:r>
              <w:rPr>
                <w:sz w:val="21"/>
                <w:szCs w:val="21"/>
              </w:rPr>
              <w:t>台班</w:t>
            </w:r>
          </w:p>
        </w:tc>
        <w:tc>
          <w:tcPr>
            <w:tcW w:w="726" w:type="pct"/>
            <w:shd w:val="clear" w:color="auto" w:fill="auto"/>
            <w:vAlign w:val="center"/>
          </w:tcPr>
          <w:p>
            <w:pPr>
              <w:pStyle w:val="15"/>
              <w:rPr>
                <w:sz w:val="21"/>
                <w:szCs w:val="21"/>
              </w:rPr>
            </w:pPr>
          </w:p>
        </w:tc>
        <w:tc>
          <w:tcPr>
            <w:tcW w:w="726" w:type="pct"/>
            <w:shd w:val="clear" w:color="auto" w:fill="auto"/>
            <w:vAlign w:val="center"/>
          </w:tcPr>
          <w:p>
            <w:pPr>
              <w:pStyle w:val="15"/>
              <w:rPr>
                <w:sz w:val="21"/>
                <w:szCs w:val="21"/>
              </w:rPr>
            </w:pPr>
          </w:p>
        </w:tc>
        <w:tc>
          <w:tcPr>
            <w:tcW w:w="1585" w:type="pct"/>
            <w:shd w:val="clear" w:color="auto" w:fill="auto"/>
            <w:vAlign w:val="center"/>
          </w:tcPr>
          <w:p>
            <w:pPr>
              <w:pStyle w:val="15"/>
              <w:rPr>
                <w:sz w:val="21"/>
                <w:szCs w:val="21"/>
              </w:rPr>
            </w:pPr>
            <w:r>
              <w:rPr>
                <w:sz w:val="21"/>
                <w:szCs w:val="21"/>
              </w:rPr>
              <w:t>挖机使用费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shd w:val="clear" w:color="000000" w:fill="FFFFFF"/>
            <w:vAlign w:val="center"/>
          </w:tcPr>
          <w:p>
            <w:pPr>
              <w:pStyle w:val="15"/>
              <w:rPr>
                <w:sz w:val="21"/>
                <w:szCs w:val="21"/>
              </w:rPr>
            </w:pPr>
            <w:r>
              <w:rPr>
                <w:sz w:val="21"/>
                <w:szCs w:val="21"/>
              </w:rPr>
              <w:t>1.3</w:t>
            </w:r>
          </w:p>
        </w:tc>
        <w:tc>
          <w:tcPr>
            <w:tcW w:w="757" w:type="pct"/>
            <w:shd w:val="clear" w:color="000000" w:fill="FFFFFF"/>
            <w:vAlign w:val="center"/>
          </w:tcPr>
          <w:p>
            <w:pPr>
              <w:pStyle w:val="15"/>
              <w:rPr>
                <w:sz w:val="21"/>
                <w:szCs w:val="21"/>
              </w:rPr>
            </w:pPr>
            <w:r>
              <w:rPr>
                <w:sz w:val="21"/>
                <w:szCs w:val="21"/>
              </w:rPr>
              <w:t>硬化路面破碎及取孔</w:t>
            </w:r>
          </w:p>
        </w:tc>
        <w:tc>
          <w:tcPr>
            <w:tcW w:w="427" w:type="pct"/>
            <w:shd w:val="clear" w:color="000000" w:fill="FFFFFF"/>
            <w:vAlign w:val="center"/>
          </w:tcPr>
          <w:p>
            <w:pPr>
              <w:pStyle w:val="15"/>
              <w:rPr>
                <w:sz w:val="21"/>
                <w:szCs w:val="21"/>
              </w:rPr>
            </w:pPr>
            <w:r>
              <w:rPr>
                <w:sz w:val="21"/>
                <w:szCs w:val="21"/>
              </w:rPr>
              <w:t>/</w:t>
            </w:r>
          </w:p>
        </w:tc>
        <w:tc>
          <w:tcPr>
            <w:tcW w:w="427" w:type="pct"/>
            <w:shd w:val="clear" w:color="000000" w:fill="FFFFFF"/>
            <w:vAlign w:val="center"/>
          </w:tcPr>
          <w:p>
            <w:pPr>
              <w:pStyle w:val="15"/>
              <w:rPr>
                <w:sz w:val="21"/>
                <w:szCs w:val="21"/>
              </w:rPr>
            </w:pPr>
            <w:r>
              <w:rPr>
                <w:sz w:val="21"/>
                <w:szCs w:val="21"/>
              </w:rPr>
              <w:t>/</w:t>
            </w:r>
          </w:p>
        </w:tc>
        <w:tc>
          <w:tcPr>
            <w:tcW w:w="726" w:type="pct"/>
            <w:shd w:val="clear" w:color="auto" w:fill="auto"/>
            <w:vAlign w:val="center"/>
          </w:tcPr>
          <w:p>
            <w:pPr>
              <w:pStyle w:val="15"/>
              <w:rPr>
                <w:sz w:val="21"/>
                <w:szCs w:val="21"/>
              </w:rPr>
            </w:pPr>
            <w:r>
              <w:rPr>
                <w:sz w:val="21"/>
                <w:szCs w:val="21"/>
              </w:rPr>
              <w:t>/</w:t>
            </w:r>
          </w:p>
        </w:tc>
        <w:tc>
          <w:tcPr>
            <w:tcW w:w="726" w:type="pct"/>
            <w:shd w:val="clear" w:color="auto" w:fill="auto"/>
            <w:vAlign w:val="center"/>
          </w:tcPr>
          <w:p>
            <w:pPr>
              <w:pStyle w:val="15"/>
              <w:rPr>
                <w:sz w:val="21"/>
                <w:szCs w:val="21"/>
              </w:rPr>
            </w:pPr>
            <w:r>
              <w:rPr>
                <w:sz w:val="21"/>
                <w:szCs w:val="21"/>
              </w:rPr>
              <w:t>/</w:t>
            </w:r>
          </w:p>
        </w:tc>
        <w:tc>
          <w:tcPr>
            <w:tcW w:w="1585" w:type="pct"/>
            <w:shd w:val="clear" w:color="auto" w:fill="auto"/>
            <w:vAlign w:val="center"/>
          </w:tcPr>
          <w:p>
            <w:pPr>
              <w:pStyle w:val="15"/>
              <w:rPr>
                <w:sz w:val="21"/>
                <w:szCs w:val="21"/>
              </w:rPr>
            </w:pPr>
            <w:r>
              <w:rPr>
                <w:sz w:val="21"/>
                <w:szCs w:val="21"/>
              </w:rPr>
              <w:t>部分点位需混凝土层取孔，孔径&gt;220mm，不再另外收费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shd w:val="clear" w:color="000000" w:fill="FFFFFF"/>
            <w:vAlign w:val="center"/>
          </w:tcPr>
          <w:p>
            <w:pPr>
              <w:pStyle w:val="15"/>
              <w:rPr>
                <w:sz w:val="21"/>
                <w:szCs w:val="21"/>
              </w:rPr>
            </w:pPr>
            <w:r>
              <w:rPr>
                <w:sz w:val="21"/>
                <w:szCs w:val="21"/>
              </w:rPr>
              <w:t>2</w:t>
            </w:r>
          </w:p>
        </w:tc>
        <w:tc>
          <w:tcPr>
            <w:tcW w:w="4649" w:type="pct"/>
            <w:gridSpan w:val="6"/>
            <w:shd w:val="clear" w:color="000000" w:fill="FFFFFF"/>
            <w:vAlign w:val="center"/>
          </w:tcPr>
          <w:p>
            <w:pPr>
              <w:pStyle w:val="15"/>
              <w:rPr>
                <w:b/>
                <w:sz w:val="21"/>
                <w:szCs w:val="21"/>
              </w:rPr>
            </w:pPr>
            <w:r>
              <w:rPr>
                <w:b/>
                <w:sz w:val="21"/>
                <w:szCs w:val="21"/>
              </w:rPr>
              <w:t>地下水监测井建设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shd w:val="clear" w:color="000000" w:fill="FFFFFF"/>
            <w:vAlign w:val="center"/>
          </w:tcPr>
          <w:p>
            <w:pPr>
              <w:pStyle w:val="15"/>
              <w:rPr>
                <w:sz w:val="21"/>
                <w:szCs w:val="21"/>
              </w:rPr>
            </w:pPr>
            <w:r>
              <w:rPr>
                <w:sz w:val="21"/>
                <w:szCs w:val="21"/>
              </w:rPr>
              <w:t>2.1</w:t>
            </w:r>
          </w:p>
        </w:tc>
        <w:tc>
          <w:tcPr>
            <w:tcW w:w="757" w:type="pct"/>
            <w:shd w:val="clear" w:color="000000" w:fill="FFFFFF"/>
            <w:vAlign w:val="center"/>
          </w:tcPr>
          <w:p>
            <w:pPr>
              <w:pStyle w:val="15"/>
              <w:rPr>
                <w:sz w:val="21"/>
                <w:szCs w:val="21"/>
              </w:rPr>
            </w:pPr>
            <w:r>
              <w:rPr>
                <w:sz w:val="21"/>
                <w:szCs w:val="21"/>
              </w:rPr>
              <w:t>钻井</w:t>
            </w:r>
          </w:p>
        </w:tc>
        <w:tc>
          <w:tcPr>
            <w:tcW w:w="427" w:type="pct"/>
            <w:shd w:val="clear" w:color="000000" w:fill="FFFFFF"/>
            <w:vAlign w:val="center"/>
          </w:tcPr>
          <w:p>
            <w:pPr>
              <w:pStyle w:val="15"/>
              <w:rPr>
                <w:sz w:val="21"/>
                <w:szCs w:val="21"/>
              </w:rPr>
            </w:pPr>
            <w:r>
              <w:rPr>
                <w:sz w:val="21"/>
                <w:szCs w:val="21"/>
              </w:rPr>
              <w:t>560</w:t>
            </w:r>
          </w:p>
        </w:tc>
        <w:tc>
          <w:tcPr>
            <w:tcW w:w="427" w:type="pct"/>
            <w:shd w:val="clear" w:color="000000" w:fill="FFFFFF"/>
            <w:vAlign w:val="center"/>
          </w:tcPr>
          <w:p>
            <w:pPr>
              <w:pStyle w:val="15"/>
              <w:rPr>
                <w:sz w:val="21"/>
                <w:szCs w:val="21"/>
              </w:rPr>
            </w:pPr>
            <w:r>
              <w:rPr>
                <w:sz w:val="21"/>
                <w:szCs w:val="21"/>
              </w:rPr>
              <w:t>米</w:t>
            </w:r>
          </w:p>
        </w:tc>
        <w:tc>
          <w:tcPr>
            <w:tcW w:w="726" w:type="pct"/>
            <w:shd w:val="clear" w:color="auto" w:fill="auto"/>
            <w:vAlign w:val="center"/>
          </w:tcPr>
          <w:p>
            <w:pPr>
              <w:pStyle w:val="15"/>
              <w:rPr>
                <w:sz w:val="21"/>
                <w:szCs w:val="21"/>
              </w:rPr>
            </w:pPr>
          </w:p>
        </w:tc>
        <w:tc>
          <w:tcPr>
            <w:tcW w:w="726" w:type="pct"/>
            <w:shd w:val="clear" w:color="auto" w:fill="auto"/>
            <w:vAlign w:val="center"/>
          </w:tcPr>
          <w:p>
            <w:pPr>
              <w:pStyle w:val="15"/>
              <w:rPr>
                <w:sz w:val="21"/>
                <w:szCs w:val="21"/>
              </w:rPr>
            </w:pPr>
          </w:p>
        </w:tc>
        <w:tc>
          <w:tcPr>
            <w:tcW w:w="1585" w:type="pct"/>
            <w:shd w:val="clear" w:color="auto" w:fill="auto"/>
            <w:vAlign w:val="center"/>
          </w:tcPr>
          <w:p>
            <w:pPr>
              <w:pStyle w:val="15"/>
              <w:rPr>
                <w:sz w:val="21"/>
                <w:szCs w:val="21"/>
              </w:rPr>
            </w:pPr>
            <w:r>
              <w:rPr>
                <w:sz w:val="21"/>
                <w:szCs w:val="21"/>
              </w:rPr>
              <w:t>成孔口径200mm，UPVC管口径为63mm，壁厚3mm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shd w:val="clear" w:color="000000" w:fill="FFFFFF"/>
            <w:vAlign w:val="center"/>
          </w:tcPr>
          <w:p>
            <w:pPr>
              <w:pStyle w:val="15"/>
              <w:rPr>
                <w:sz w:val="21"/>
                <w:szCs w:val="21"/>
              </w:rPr>
            </w:pPr>
            <w:r>
              <w:rPr>
                <w:sz w:val="21"/>
                <w:szCs w:val="21"/>
              </w:rPr>
              <w:t>2.2</w:t>
            </w:r>
          </w:p>
        </w:tc>
        <w:tc>
          <w:tcPr>
            <w:tcW w:w="757" w:type="pct"/>
            <w:shd w:val="clear" w:color="000000" w:fill="FFFFFF"/>
            <w:vAlign w:val="center"/>
          </w:tcPr>
          <w:p>
            <w:pPr>
              <w:pStyle w:val="15"/>
              <w:rPr>
                <w:sz w:val="21"/>
                <w:szCs w:val="21"/>
              </w:rPr>
            </w:pPr>
            <w:r>
              <w:rPr>
                <w:sz w:val="21"/>
                <w:szCs w:val="21"/>
              </w:rPr>
              <w:t>洗井</w:t>
            </w:r>
          </w:p>
        </w:tc>
        <w:tc>
          <w:tcPr>
            <w:tcW w:w="427" w:type="pct"/>
            <w:shd w:val="clear" w:color="000000" w:fill="FFFFFF"/>
            <w:vAlign w:val="center"/>
          </w:tcPr>
          <w:p>
            <w:pPr>
              <w:pStyle w:val="15"/>
              <w:rPr>
                <w:sz w:val="21"/>
                <w:szCs w:val="21"/>
              </w:rPr>
            </w:pPr>
            <w:r>
              <w:rPr>
                <w:sz w:val="21"/>
                <w:szCs w:val="21"/>
              </w:rPr>
              <w:t>100</w:t>
            </w:r>
          </w:p>
        </w:tc>
        <w:tc>
          <w:tcPr>
            <w:tcW w:w="427" w:type="pct"/>
            <w:shd w:val="clear" w:color="000000" w:fill="FFFFFF"/>
            <w:vAlign w:val="center"/>
          </w:tcPr>
          <w:p>
            <w:pPr>
              <w:pStyle w:val="15"/>
              <w:rPr>
                <w:sz w:val="21"/>
                <w:szCs w:val="21"/>
              </w:rPr>
            </w:pPr>
            <w:r>
              <w:rPr>
                <w:sz w:val="21"/>
                <w:szCs w:val="21"/>
              </w:rPr>
              <w:t>个</w:t>
            </w:r>
          </w:p>
        </w:tc>
        <w:tc>
          <w:tcPr>
            <w:tcW w:w="726" w:type="pct"/>
            <w:shd w:val="clear" w:color="auto" w:fill="auto"/>
            <w:vAlign w:val="center"/>
          </w:tcPr>
          <w:p>
            <w:pPr>
              <w:pStyle w:val="15"/>
              <w:rPr>
                <w:sz w:val="21"/>
                <w:szCs w:val="21"/>
              </w:rPr>
            </w:pPr>
          </w:p>
        </w:tc>
        <w:tc>
          <w:tcPr>
            <w:tcW w:w="726" w:type="pct"/>
            <w:shd w:val="clear" w:color="auto" w:fill="auto"/>
            <w:vAlign w:val="center"/>
          </w:tcPr>
          <w:p>
            <w:pPr>
              <w:pStyle w:val="15"/>
              <w:rPr>
                <w:sz w:val="21"/>
                <w:szCs w:val="21"/>
              </w:rPr>
            </w:pPr>
          </w:p>
        </w:tc>
        <w:tc>
          <w:tcPr>
            <w:tcW w:w="1585" w:type="pct"/>
            <w:shd w:val="clear" w:color="auto" w:fill="auto"/>
            <w:vAlign w:val="center"/>
          </w:tcPr>
          <w:p>
            <w:pPr>
              <w:pStyle w:val="15"/>
              <w:rPr>
                <w:sz w:val="21"/>
                <w:szCs w:val="21"/>
              </w:rPr>
            </w:pPr>
            <w:r>
              <w:rPr>
                <w:sz w:val="21"/>
                <w:szCs w:val="21"/>
              </w:rPr>
              <w:t>含贝勒管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shd w:val="clear" w:color="000000" w:fill="FFFFFF"/>
            <w:vAlign w:val="center"/>
          </w:tcPr>
          <w:p>
            <w:pPr>
              <w:pStyle w:val="15"/>
              <w:rPr>
                <w:sz w:val="21"/>
                <w:szCs w:val="21"/>
              </w:rPr>
            </w:pPr>
            <w:r>
              <w:rPr>
                <w:sz w:val="21"/>
                <w:szCs w:val="21"/>
              </w:rPr>
              <w:t>3</w:t>
            </w:r>
          </w:p>
        </w:tc>
        <w:tc>
          <w:tcPr>
            <w:tcW w:w="4649" w:type="pct"/>
            <w:gridSpan w:val="6"/>
            <w:shd w:val="clear" w:color="000000" w:fill="FFFFFF"/>
            <w:vAlign w:val="center"/>
          </w:tcPr>
          <w:p>
            <w:pPr>
              <w:pStyle w:val="15"/>
              <w:rPr>
                <w:b/>
                <w:sz w:val="21"/>
                <w:szCs w:val="21"/>
              </w:rPr>
            </w:pPr>
            <w:r>
              <w:rPr>
                <w:b/>
                <w:sz w:val="21"/>
                <w:szCs w:val="21"/>
              </w:rPr>
              <w:t>设备进出场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shd w:val="clear" w:color="000000" w:fill="FFFFFF"/>
            <w:vAlign w:val="center"/>
          </w:tcPr>
          <w:p>
            <w:pPr>
              <w:pStyle w:val="15"/>
              <w:rPr>
                <w:sz w:val="21"/>
                <w:szCs w:val="21"/>
              </w:rPr>
            </w:pPr>
            <w:r>
              <w:rPr>
                <w:sz w:val="21"/>
                <w:szCs w:val="21"/>
              </w:rPr>
              <w:t>3.1</w:t>
            </w:r>
          </w:p>
        </w:tc>
        <w:tc>
          <w:tcPr>
            <w:tcW w:w="757" w:type="pct"/>
            <w:shd w:val="clear" w:color="000000" w:fill="FFFFFF"/>
            <w:vAlign w:val="center"/>
          </w:tcPr>
          <w:p>
            <w:pPr>
              <w:pStyle w:val="15"/>
              <w:rPr>
                <w:sz w:val="21"/>
                <w:szCs w:val="21"/>
              </w:rPr>
            </w:pPr>
            <w:r>
              <w:rPr>
                <w:sz w:val="21"/>
                <w:szCs w:val="21"/>
              </w:rPr>
              <w:t>设备运费</w:t>
            </w:r>
          </w:p>
        </w:tc>
        <w:tc>
          <w:tcPr>
            <w:tcW w:w="427" w:type="pct"/>
            <w:shd w:val="clear" w:color="000000" w:fill="FFFFFF"/>
            <w:vAlign w:val="center"/>
          </w:tcPr>
          <w:p>
            <w:pPr>
              <w:pStyle w:val="15"/>
              <w:rPr>
                <w:sz w:val="21"/>
                <w:szCs w:val="21"/>
              </w:rPr>
            </w:pPr>
            <w:r>
              <w:rPr>
                <w:sz w:val="21"/>
                <w:szCs w:val="21"/>
              </w:rPr>
              <w:t>3</w:t>
            </w:r>
          </w:p>
        </w:tc>
        <w:tc>
          <w:tcPr>
            <w:tcW w:w="427" w:type="pct"/>
            <w:shd w:val="clear" w:color="000000" w:fill="FFFFFF"/>
            <w:vAlign w:val="center"/>
          </w:tcPr>
          <w:p>
            <w:pPr>
              <w:pStyle w:val="15"/>
              <w:rPr>
                <w:sz w:val="21"/>
                <w:szCs w:val="21"/>
              </w:rPr>
            </w:pPr>
            <w:r>
              <w:rPr>
                <w:sz w:val="21"/>
                <w:szCs w:val="21"/>
              </w:rPr>
              <w:t>项</w:t>
            </w:r>
          </w:p>
        </w:tc>
        <w:tc>
          <w:tcPr>
            <w:tcW w:w="726" w:type="pct"/>
            <w:shd w:val="clear" w:color="auto" w:fill="auto"/>
            <w:vAlign w:val="center"/>
          </w:tcPr>
          <w:p>
            <w:pPr>
              <w:pStyle w:val="15"/>
              <w:rPr>
                <w:sz w:val="21"/>
                <w:szCs w:val="21"/>
              </w:rPr>
            </w:pPr>
          </w:p>
        </w:tc>
        <w:tc>
          <w:tcPr>
            <w:tcW w:w="726" w:type="pct"/>
            <w:shd w:val="clear" w:color="auto" w:fill="auto"/>
            <w:vAlign w:val="center"/>
          </w:tcPr>
          <w:p>
            <w:pPr>
              <w:pStyle w:val="15"/>
              <w:rPr>
                <w:sz w:val="21"/>
                <w:szCs w:val="21"/>
              </w:rPr>
            </w:pPr>
          </w:p>
        </w:tc>
        <w:tc>
          <w:tcPr>
            <w:tcW w:w="1585" w:type="pct"/>
            <w:shd w:val="clear" w:color="auto" w:fill="auto"/>
            <w:vAlign w:val="center"/>
          </w:tcPr>
          <w:p>
            <w:pPr>
              <w:pStyle w:val="15"/>
              <w:rPr>
                <w:sz w:val="21"/>
                <w:szCs w:val="21"/>
              </w:rPr>
            </w:pPr>
            <w:r>
              <w:rPr>
                <w:sz w:val="21"/>
                <w:szCs w:val="21"/>
              </w:rPr>
              <w:t>钻机进场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shd w:val="clear" w:color="000000" w:fill="FFFFFF"/>
            <w:vAlign w:val="center"/>
          </w:tcPr>
          <w:p>
            <w:pPr>
              <w:pStyle w:val="15"/>
              <w:rPr>
                <w:sz w:val="21"/>
                <w:szCs w:val="21"/>
              </w:rPr>
            </w:pPr>
            <w:r>
              <w:rPr>
                <w:sz w:val="21"/>
                <w:szCs w:val="21"/>
              </w:rPr>
              <w:t>3.2</w:t>
            </w:r>
          </w:p>
        </w:tc>
        <w:tc>
          <w:tcPr>
            <w:tcW w:w="757" w:type="pct"/>
            <w:shd w:val="clear" w:color="000000" w:fill="FFFFFF"/>
            <w:vAlign w:val="center"/>
          </w:tcPr>
          <w:p>
            <w:pPr>
              <w:pStyle w:val="15"/>
              <w:rPr>
                <w:sz w:val="21"/>
                <w:szCs w:val="21"/>
              </w:rPr>
            </w:pPr>
            <w:r>
              <w:rPr>
                <w:sz w:val="21"/>
                <w:szCs w:val="21"/>
              </w:rPr>
              <w:t>挖机进出场</w:t>
            </w:r>
          </w:p>
        </w:tc>
        <w:tc>
          <w:tcPr>
            <w:tcW w:w="427" w:type="pct"/>
            <w:shd w:val="clear" w:color="000000" w:fill="FFFFFF"/>
            <w:vAlign w:val="center"/>
          </w:tcPr>
          <w:p>
            <w:pPr>
              <w:pStyle w:val="15"/>
              <w:rPr>
                <w:sz w:val="21"/>
                <w:szCs w:val="21"/>
              </w:rPr>
            </w:pPr>
            <w:r>
              <w:rPr>
                <w:sz w:val="21"/>
                <w:szCs w:val="21"/>
              </w:rPr>
              <w:t>3</w:t>
            </w:r>
          </w:p>
        </w:tc>
        <w:tc>
          <w:tcPr>
            <w:tcW w:w="427" w:type="pct"/>
            <w:shd w:val="clear" w:color="000000" w:fill="FFFFFF"/>
            <w:vAlign w:val="center"/>
          </w:tcPr>
          <w:p>
            <w:pPr>
              <w:pStyle w:val="15"/>
              <w:rPr>
                <w:sz w:val="21"/>
                <w:szCs w:val="21"/>
              </w:rPr>
            </w:pPr>
            <w:r>
              <w:rPr>
                <w:sz w:val="21"/>
                <w:szCs w:val="21"/>
              </w:rPr>
              <w:t>项</w:t>
            </w:r>
          </w:p>
        </w:tc>
        <w:tc>
          <w:tcPr>
            <w:tcW w:w="726" w:type="pct"/>
            <w:shd w:val="clear" w:color="auto" w:fill="auto"/>
            <w:vAlign w:val="center"/>
          </w:tcPr>
          <w:p>
            <w:pPr>
              <w:pStyle w:val="15"/>
              <w:rPr>
                <w:sz w:val="21"/>
                <w:szCs w:val="21"/>
              </w:rPr>
            </w:pPr>
          </w:p>
        </w:tc>
        <w:tc>
          <w:tcPr>
            <w:tcW w:w="726" w:type="pct"/>
            <w:shd w:val="clear" w:color="auto" w:fill="auto"/>
            <w:vAlign w:val="center"/>
          </w:tcPr>
          <w:p>
            <w:pPr>
              <w:pStyle w:val="15"/>
              <w:rPr>
                <w:sz w:val="21"/>
                <w:szCs w:val="21"/>
              </w:rPr>
            </w:pPr>
          </w:p>
        </w:tc>
        <w:tc>
          <w:tcPr>
            <w:tcW w:w="1585" w:type="pct"/>
            <w:shd w:val="clear" w:color="auto" w:fill="auto"/>
            <w:vAlign w:val="center"/>
          </w:tcPr>
          <w:p>
            <w:pPr>
              <w:pStyle w:val="15"/>
              <w:rPr>
                <w:sz w:val="21"/>
                <w:szCs w:val="21"/>
              </w:rPr>
            </w:pPr>
            <w:r>
              <w:rPr>
                <w:sz w:val="21"/>
                <w:szCs w:val="21"/>
              </w:rPr>
              <w:t>1m</w:t>
            </w:r>
            <w:r>
              <w:rPr>
                <w:sz w:val="21"/>
                <w:szCs w:val="21"/>
                <w:vertAlign w:val="superscript"/>
              </w:rPr>
              <w:t>3</w:t>
            </w:r>
            <w:r>
              <w:rPr>
                <w:sz w:val="21"/>
                <w:szCs w:val="21"/>
              </w:rPr>
              <w:t>大挖机进出场费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shd w:val="clear" w:color="000000" w:fill="FFFFFF"/>
            <w:vAlign w:val="center"/>
          </w:tcPr>
          <w:p>
            <w:pPr>
              <w:pStyle w:val="15"/>
              <w:rPr>
                <w:sz w:val="21"/>
                <w:szCs w:val="21"/>
              </w:rPr>
            </w:pPr>
            <w:r>
              <w:rPr>
                <w:sz w:val="21"/>
                <w:szCs w:val="21"/>
              </w:rPr>
              <w:t>4</w:t>
            </w:r>
          </w:p>
        </w:tc>
        <w:tc>
          <w:tcPr>
            <w:tcW w:w="4649" w:type="pct"/>
            <w:gridSpan w:val="6"/>
            <w:shd w:val="clear" w:color="000000" w:fill="FFFFFF"/>
            <w:vAlign w:val="center"/>
          </w:tcPr>
          <w:p>
            <w:pPr>
              <w:pStyle w:val="15"/>
              <w:rPr>
                <w:b/>
                <w:sz w:val="21"/>
                <w:szCs w:val="21"/>
              </w:rPr>
            </w:pPr>
            <w:r>
              <w:rPr>
                <w:b/>
                <w:sz w:val="21"/>
                <w:szCs w:val="21"/>
              </w:rPr>
              <w:t>人员费用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shd w:val="clear" w:color="000000" w:fill="FFFFFF"/>
            <w:vAlign w:val="center"/>
          </w:tcPr>
          <w:p>
            <w:pPr>
              <w:pStyle w:val="15"/>
              <w:rPr>
                <w:sz w:val="21"/>
                <w:szCs w:val="21"/>
              </w:rPr>
            </w:pPr>
            <w:r>
              <w:rPr>
                <w:sz w:val="21"/>
                <w:szCs w:val="21"/>
              </w:rPr>
              <w:t>4.1</w:t>
            </w:r>
          </w:p>
        </w:tc>
        <w:tc>
          <w:tcPr>
            <w:tcW w:w="757" w:type="pct"/>
            <w:shd w:val="clear" w:color="000000" w:fill="FFFFFF"/>
            <w:vAlign w:val="center"/>
          </w:tcPr>
          <w:p>
            <w:pPr>
              <w:pStyle w:val="15"/>
              <w:rPr>
                <w:sz w:val="21"/>
                <w:szCs w:val="21"/>
              </w:rPr>
            </w:pPr>
            <w:r>
              <w:rPr>
                <w:sz w:val="21"/>
                <w:szCs w:val="21"/>
              </w:rPr>
              <w:t>人工及差旅费</w:t>
            </w:r>
          </w:p>
        </w:tc>
        <w:tc>
          <w:tcPr>
            <w:tcW w:w="427" w:type="pct"/>
            <w:shd w:val="clear" w:color="000000" w:fill="FFFFFF"/>
            <w:vAlign w:val="center"/>
          </w:tcPr>
          <w:p>
            <w:pPr>
              <w:pStyle w:val="15"/>
              <w:rPr>
                <w:sz w:val="21"/>
                <w:szCs w:val="21"/>
              </w:rPr>
            </w:pPr>
            <w:r>
              <w:rPr>
                <w:sz w:val="21"/>
                <w:szCs w:val="21"/>
              </w:rPr>
              <w:t>/</w:t>
            </w:r>
          </w:p>
        </w:tc>
        <w:tc>
          <w:tcPr>
            <w:tcW w:w="427" w:type="pct"/>
            <w:shd w:val="clear" w:color="000000" w:fill="FFFFFF"/>
            <w:vAlign w:val="center"/>
          </w:tcPr>
          <w:p>
            <w:pPr>
              <w:pStyle w:val="15"/>
              <w:rPr>
                <w:sz w:val="21"/>
                <w:szCs w:val="21"/>
              </w:rPr>
            </w:pPr>
            <w:r>
              <w:rPr>
                <w:sz w:val="21"/>
                <w:szCs w:val="21"/>
              </w:rPr>
              <w:t>项</w:t>
            </w:r>
          </w:p>
        </w:tc>
        <w:tc>
          <w:tcPr>
            <w:tcW w:w="726" w:type="pct"/>
            <w:shd w:val="clear" w:color="auto" w:fill="auto"/>
            <w:vAlign w:val="center"/>
          </w:tcPr>
          <w:p>
            <w:pPr>
              <w:pStyle w:val="15"/>
              <w:rPr>
                <w:sz w:val="21"/>
                <w:szCs w:val="21"/>
              </w:rPr>
            </w:pPr>
            <w:r>
              <w:rPr>
                <w:sz w:val="21"/>
                <w:szCs w:val="21"/>
              </w:rPr>
              <w:t>/</w:t>
            </w:r>
          </w:p>
        </w:tc>
        <w:tc>
          <w:tcPr>
            <w:tcW w:w="726" w:type="pct"/>
            <w:shd w:val="clear" w:color="auto" w:fill="auto"/>
            <w:vAlign w:val="center"/>
          </w:tcPr>
          <w:p>
            <w:pPr>
              <w:pStyle w:val="15"/>
              <w:rPr>
                <w:sz w:val="21"/>
                <w:szCs w:val="21"/>
              </w:rPr>
            </w:pPr>
            <w:r>
              <w:rPr>
                <w:sz w:val="21"/>
                <w:szCs w:val="21"/>
              </w:rPr>
              <w:t>/</w:t>
            </w:r>
          </w:p>
        </w:tc>
        <w:tc>
          <w:tcPr>
            <w:tcW w:w="1585" w:type="pct"/>
            <w:shd w:val="clear" w:color="auto" w:fill="auto"/>
            <w:vAlign w:val="center"/>
          </w:tcPr>
          <w:p>
            <w:pPr>
              <w:pStyle w:val="15"/>
              <w:rPr>
                <w:sz w:val="21"/>
                <w:szCs w:val="21"/>
              </w:rPr>
            </w:pPr>
            <w:r>
              <w:rPr>
                <w:sz w:val="21"/>
                <w:szCs w:val="21"/>
              </w:rPr>
              <w:t>1台钻机配套1个班组，每个班组4人，费用含在钻探费中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shd w:val="clear" w:color="000000" w:fill="FFFFFF"/>
            <w:vAlign w:val="center"/>
          </w:tcPr>
          <w:p>
            <w:pPr>
              <w:pStyle w:val="15"/>
              <w:rPr>
                <w:sz w:val="21"/>
                <w:szCs w:val="21"/>
              </w:rPr>
            </w:pPr>
            <w:r>
              <w:rPr>
                <w:sz w:val="21"/>
                <w:szCs w:val="21"/>
              </w:rPr>
              <w:t>5</w:t>
            </w:r>
          </w:p>
        </w:tc>
        <w:tc>
          <w:tcPr>
            <w:tcW w:w="4649" w:type="pct"/>
            <w:gridSpan w:val="6"/>
            <w:shd w:val="clear" w:color="000000" w:fill="FFFFFF"/>
            <w:vAlign w:val="center"/>
          </w:tcPr>
          <w:p>
            <w:pPr>
              <w:pStyle w:val="15"/>
              <w:rPr>
                <w:b/>
                <w:sz w:val="21"/>
                <w:szCs w:val="21"/>
              </w:rPr>
            </w:pPr>
            <w:r>
              <w:rPr>
                <w:b/>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shd w:val="clear" w:color="000000" w:fill="FFFFFF"/>
            <w:vAlign w:val="center"/>
          </w:tcPr>
          <w:p>
            <w:pPr>
              <w:pStyle w:val="15"/>
              <w:rPr>
                <w:sz w:val="21"/>
                <w:szCs w:val="21"/>
              </w:rPr>
            </w:pPr>
            <w:r>
              <w:rPr>
                <w:sz w:val="21"/>
                <w:szCs w:val="21"/>
              </w:rPr>
              <w:t>5.1</w:t>
            </w:r>
          </w:p>
        </w:tc>
        <w:tc>
          <w:tcPr>
            <w:tcW w:w="757" w:type="pct"/>
            <w:shd w:val="clear" w:color="000000" w:fill="FFFFFF"/>
            <w:vAlign w:val="center"/>
          </w:tcPr>
          <w:p>
            <w:pPr>
              <w:pStyle w:val="15"/>
              <w:rPr>
                <w:sz w:val="21"/>
                <w:szCs w:val="21"/>
              </w:rPr>
            </w:pPr>
            <w:r>
              <w:rPr>
                <w:sz w:val="21"/>
                <w:szCs w:val="21"/>
              </w:rPr>
              <w:t>RTK测量</w:t>
            </w:r>
          </w:p>
        </w:tc>
        <w:tc>
          <w:tcPr>
            <w:tcW w:w="427" w:type="pct"/>
            <w:shd w:val="clear" w:color="000000" w:fill="FFFFFF"/>
            <w:vAlign w:val="center"/>
          </w:tcPr>
          <w:p>
            <w:pPr>
              <w:pStyle w:val="15"/>
              <w:rPr>
                <w:sz w:val="21"/>
                <w:szCs w:val="21"/>
              </w:rPr>
            </w:pPr>
            <w:r>
              <w:rPr>
                <w:sz w:val="21"/>
                <w:szCs w:val="21"/>
              </w:rPr>
              <w:t>/</w:t>
            </w:r>
          </w:p>
        </w:tc>
        <w:tc>
          <w:tcPr>
            <w:tcW w:w="427" w:type="pct"/>
            <w:shd w:val="clear" w:color="000000" w:fill="FFFFFF"/>
            <w:vAlign w:val="center"/>
          </w:tcPr>
          <w:p>
            <w:pPr>
              <w:pStyle w:val="15"/>
              <w:rPr>
                <w:sz w:val="21"/>
                <w:szCs w:val="21"/>
              </w:rPr>
            </w:pPr>
            <w:r>
              <w:rPr>
                <w:sz w:val="21"/>
                <w:szCs w:val="21"/>
              </w:rPr>
              <w:t>项</w:t>
            </w:r>
          </w:p>
        </w:tc>
        <w:tc>
          <w:tcPr>
            <w:tcW w:w="726" w:type="pct"/>
            <w:shd w:val="clear" w:color="auto" w:fill="auto"/>
            <w:vAlign w:val="center"/>
          </w:tcPr>
          <w:p>
            <w:pPr>
              <w:pStyle w:val="15"/>
              <w:rPr>
                <w:sz w:val="21"/>
                <w:szCs w:val="21"/>
              </w:rPr>
            </w:pPr>
            <w:r>
              <w:rPr>
                <w:sz w:val="21"/>
                <w:szCs w:val="21"/>
              </w:rPr>
              <w:t>/</w:t>
            </w:r>
          </w:p>
        </w:tc>
        <w:tc>
          <w:tcPr>
            <w:tcW w:w="726" w:type="pct"/>
            <w:shd w:val="clear" w:color="auto" w:fill="auto"/>
            <w:vAlign w:val="center"/>
          </w:tcPr>
          <w:p>
            <w:pPr>
              <w:pStyle w:val="15"/>
              <w:rPr>
                <w:sz w:val="21"/>
                <w:szCs w:val="21"/>
              </w:rPr>
            </w:pPr>
            <w:r>
              <w:rPr>
                <w:sz w:val="21"/>
                <w:szCs w:val="21"/>
              </w:rPr>
              <w:t>/</w:t>
            </w:r>
          </w:p>
        </w:tc>
        <w:tc>
          <w:tcPr>
            <w:tcW w:w="1585" w:type="pct"/>
            <w:shd w:val="clear" w:color="auto" w:fill="auto"/>
            <w:vAlign w:val="center"/>
          </w:tcPr>
          <w:p>
            <w:pPr>
              <w:pStyle w:val="15"/>
              <w:rPr>
                <w:sz w:val="21"/>
                <w:szCs w:val="21"/>
              </w:rPr>
            </w:pPr>
            <w:r>
              <w:rPr>
                <w:sz w:val="21"/>
                <w:szCs w:val="21"/>
              </w:rPr>
              <w:t>提供且不收费，大地2000坐标，参考黄海高程，需现场放点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shd w:val="clear" w:color="000000" w:fill="FFFFFF"/>
            <w:vAlign w:val="center"/>
          </w:tcPr>
          <w:p>
            <w:pPr>
              <w:pStyle w:val="15"/>
              <w:rPr>
                <w:sz w:val="21"/>
                <w:szCs w:val="21"/>
              </w:rPr>
            </w:pPr>
            <w:r>
              <w:rPr>
                <w:sz w:val="21"/>
                <w:szCs w:val="21"/>
              </w:rPr>
              <w:t>5.2</w:t>
            </w:r>
          </w:p>
        </w:tc>
        <w:tc>
          <w:tcPr>
            <w:tcW w:w="757" w:type="pct"/>
            <w:shd w:val="clear" w:color="000000" w:fill="FFFFFF"/>
            <w:vAlign w:val="center"/>
          </w:tcPr>
          <w:p>
            <w:pPr>
              <w:pStyle w:val="15"/>
              <w:rPr>
                <w:sz w:val="21"/>
                <w:szCs w:val="21"/>
              </w:rPr>
            </w:pPr>
            <w:r>
              <w:rPr>
                <w:sz w:val="21"/>
                <w:szCs w:val="21"/>
              </w:rPr>
              <w:t>二次污染防治</w:t>
            </w:r>
          </w:p>
        </w:tc>
        <w:tc>
          <w:tcPr>
            <w:tcW w:w="427" w:type="pct"/>
            <w:shd w:val="clear" w:color="000000" w:fill="FFFFFF"/>
            <w:vAlign w:val="center"/>
          </w:tcPr>
          <w:p>
            <w:pPr>
              <w:pStyle w:val="15"/>
              <w:rPr>
                <w:sz w:val="21"/>
                <w:szCs w:val="21"/>
              </w:rPr>
            </w:pPr>
            <w:r>
              <w:rPr>
                <w:sz w:val="21"/>
                <w:szCs w:val="21"/>
              </w:rPr>
              <w:t>/</w:t>
            </w:r>
          </w:p>
        </w:tc>
        <w:tc>
          <w:tcPr>
            <w:tcW w:w="427" w:type="pct"/>
            <w:shd w:val="clear" w:color="000000" w:fill="FFFFFF"/>
            <w:vAlign w:val="center"/>
          </w:tcPr>
          <w:p>
            <w:pPr>
              <w:pStyle w:val="15"/>
              <w:rPr>
                <w:sz w:val="21"/>
                <w:szCs w:val="21"/>
              </w:rPr>
            </w:pPr>
            <w:r>
              <w:rPr>
                <w:sz w:val="21"/>
                <w:szCs w:val="21"/>
              </w:rPr>
              <w:t>项</w:t>
            </w:r>
          </w:p>
        </w:tc>
        <w:tc>
          <w:tcPr>
            <w:tcW w:w="726" w:type="pct"/>
            <w:shd w:val="clear" w:color="auto" w:fill="auto"/>
            <w:vAlign w:val="center"/>
          </w:tcPr>
          <w:p>
            <w:pPr>
              <w:pStyle w:val="15"/>
              <w:rPr>
                <w:sz w:val="21"/>
                <w:szCs w:val="21"/>
              </w:rPr>
            </w:pPr>
            <w:r>
              <w:rPr>
                <w:sz w:val="21"/>
                <w:szCs w:val="21"/>
              </w:rPr>
              <w:t>/</w:t>
            </w:r>
          </w:p>
        </w:tc>
        <w:tc>
          <w:tcPr>
            <w:tcW w:w="726" w:type="pct"/>
            <w:shd w:val="clear" w:color="auto" w:fill="auto"/>
            <w:vAlign w:val="center"/>
          </w:tcPr>
          <w:p>
            <w:pPr>
              <w:pStyle w:val="15"/>
              <w:rPr>
                <w:sz w:val="21"/>
                <w:szCs w:val="21"/>
              </w:rPr>
            </w:pPr>
            <w:r>
              <w:rPr>
                <w:sz w:val="21"/>
                <w:szCs w:val="21"/>
              </w:rPr>
              <w:t>/</w:t>
            </w:r>
          </w:p>
        </w:tc>
        <w:tc>
          <w:tcPr>
            <w:tcW w:w="1585" w:type="pct"/>
            <w:shd w:val="clear" w:color="auto" w:fill="auto"/>
            <w:vAlign w:val="center"/>
          </w:tcPr>
          <w:p>
            <w:pPr>
              <w:pStyle w:val="15"/>
              <w:rPr>
                <w:sz w:val="21"/>
                <w:szCs w:val="21"/>
              </w:rPr>
            </w:pPr>
            <w:r>
              <w:rPr>
                <w:sz w:val="21"/>
                <w:szCs w:val="21"/>
              </w:rPr>
              <w:t>提供且不收费，包括不限于运输过程中使用的吨袋、收集桶及处置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shd w:val="clear" w:color="000000" w:fill="FFFFFF"/>
            <w:vAlign w:val="center"/>
          </w:tcPr>
          <w:p>
            <w:pPr>
              <w:pStyle w:val="15"/>
              <w:rPr>
                <w:sz w:val="21"/>
                <w:szCs w:val="21"/>
              </w:rPr>
            </w:pPr>
          </w:p>
        </w:tc>
        <w:tc>
          <w:tcPr>
            <w:tcW w:w="757" w:type="pct"/>
            <w:shd w:val="clear" w:color="000000" w:fill="FFFFFF"/>
            <w:vAlign w:val="center"/>
          </w:tcPr>
          <w:p>
            <w:pPr>
              <w:pStyle w:val="15"/>
              <w:rPr>
                <w:sz w:val="21"/>
                <w:szCs w:val="21"/>
              </w:rPr>
            </w:pPr>
            <w:r>
              <w:rPr>
                <w:sz w:val="21"/>
                <w:szCs w:val="21"/>
              </w:rPr>
              <w:t>合计</w:t>
            </w:r>
          </w:p>
        </w:tc>
        <w:tc>
          <w:tcPr>
            <w:tcW w:w="427" w:type="pct"/>
            <w:shd w:val="clear" w:color="000000" w:fill="FFFFFF"/>
            <w:vAlign w:val="center"/>
          </w:tcPr>
          <w:p>
            <w:pPr>
              <w:pStyle w:val="15"/>
              <w:rPr>
                <w:sz w:val="21"/>
                <w:szCs w:val="21"/>
              </w:rPr>
            </w:pPr>
          </w:p>
        </w:tc>
        <w:tc>
          <w:tcPr>
            <w:tcW w:w="427" w:type="pct"/>
            <w:shd w:val="clear" w:color="000000" w:fill="FFFFFF"/>
            <w:vAlign w:val="center"/>
          </w:tcPr>
          <w:p>
            <w:pPr>
              <w:pStyle w:val="15"/>
              <w:rPr>
                <w:sz w:val="21"/>
                <w:szCs w:val="21"/>
              </w:rPr>
            </w:pPr>
          </w:p>
        </w:tc>
        <w:tc>
          <w:tcPr>
            <w:tcW w:w="726" w:type="pct"/>
            <w:shd w:val="clear" w:color="auto" w:fill="auto"/>
            <w:vAlign w:val="center"/>
          </w:tcPr>
          <w:p>
            <w:pPr>
              <w:pStyle w:val="15"/>
              <w:rPr>
                <w:sz w:val="21"/>
                <w:szCs w:val="21"/>
              </w:rPr>
            </w:pPr>
          </w:p>
        </w:tc>
        <w:tc>
          <w:tcPr>
            <w:tcW w:w="726" w:type="pct"/>
            <w:shd w:val="clear" w:color="auto" w:fill="auto"/>
            <w:vAlign w:val="center"/>
          </w:tcPr>
          <w:p>
            <w:pPr>
              <w:pStyle w:val="15"/>
              <w:rPr>
                <w:sz w:val="21"/>
                <w:szCs w:val="21"/>
              </w:rPr>
            </w:pPr>
          </w:p>
        </w:tc>
        <w:tc>
          <w:tcPr>
            <w:tcW w:w="1585" w:type="pct"/>
            <w:shd w:val="clear" w:color="auto" w:fill="auto"/>
            <w:vAlign w:val="center"/>
          </w:tcPr>
          <w:p>
            <w:pPr>
              <w:pStyle w:val="15"/>
              <w:rPr>
                <w:sz w:val="21"/>
                <w:szCs w:val="21"/>
              </w:rPr>
            </w:pPr>
          </w:p>
        </w:tc>
      </w:tr>
    </w:tbl>
    <w:p>
      <w:pPr>
        <w:spacing w:line="460" w:lineRule="exact"/>
        <w:rPr>
          <w:rFonts w:eastAsiaTheme="minorEastAsia"/>
          <w:b/>
          <w:bCs/>
          <w:szCs w:val="21"/>
        </w:rPr>
      </w:pPr>
      <w:r>
        <w:rPr>
          <w:rFonts w:eastAsiaTheme="minorEastAsia"/>
          <w:b/>
          <w:bCs/>
          <w:szCs w:val="21"/>
        </w:rPr>
        <w:t>六、工作内容及要求：</w:t>
      </w:r>
    </w:p>
    <w:p>
      <w:pPr>
        <w:spacing w:line="420" w:lineRule="exact"/>
        <w:ind w:firstLine="422" w:firstLineChars="200"/>
        <w:jc w:val="left"/>
        <w:rPr>
          <w:szCs w:val="21"/>
        </w:rPr>
      </w:pPr>
      <w:r>
        <w:rPr>
          <w:b/>
          <w:bCs/>
          <w:szCs w:val="21"/>
        </w:rPr>
        <w:t>工作内容</w:t>
      </w:r>
    </w:p>
    <w:p>
      <w:pPr>
        <w:spacing w:line="420" w:lineRule="exact"/>
        <w:ind w:firstLine="420" w:firstLineChars="200"/>
        <w:jc w:val="left"/>
        <w:rPr>
          <w:szCs w:val="21"/>
        </w:rPr>
      </w:pPr>
      <w:bookmarkStart w:id="1" w:name="_Toc322436228"/>
      <w:bookmarkStart w:id="2" w:name="_Toc322435823"/>
      <w:bookmarkStart w:id="3" w:name="_Toc330998556"/>
      <w:bookmarkStart w:id="4" w:name="_Toc331061664"/>
      <w:bookmarkStart w:id="5" w:name="_Toc322435993"/>
      <w:bookmarkStart w:id="6" w:name="_Toc322436048"/>
      <w:r>
        <w:rPr>
          <w:szCs w:val="21"/>
        </w:rPr>
        <w:t>根据土壤污染风险管控和修复监测相关的技术、导则和法律规定性文件开展</w:t>
      </w:r>
      <w:r>
        <w:rPr>
          <w:rFonts w:hint="eastAsia"/>
          <w:szCs w:val="21"/>
          <w:lang w:eastAsia="zh-CN"/>
        </w:rPr>
        <w:t>常州市M地块土壤污染状况调查钻探服务项目（二次）</w:t>
      </w:r>
      <w:r>
        <w:rPr>
          <w:szCs w:val="21"/>
        </w:rPr>
        <w:t>，并按照招标人委托内容分批次进场开展钻探工作；包括但不限于基本技术要求范围内相应项目开工前的准备（包括现场踏勘、技术核对等）、技术资料、施工、技术服务、项目建设单位验收、质保期及维保服务和技术文件所要求的相关工程等全部内容。主要工作内容：</w:t>
      </w:r>
    </w:p>
    <w:p>
      <w:pPr>
        <w:spacing w:line="420" w:lineRule="exact"/>
        <w:ind w:firstLine="420" w:firstLineChars="200"/>
        <w:jc w:val="left"/>
        <w:rPr>
          <w:szCs w:val="21"/>
        </w:rPr>
      </w:pPr>
      <w:r>
        <w:rPr>
          <w:szCs w:val="21"/>
        </w:rPr>
        <w:t>（1）土壤钻探：RTK点位放样140个，直推式土壤钻探取样深度1050m，</w:t>
      </w:r>
      <w:r>
        <w:rPr>
          <w:rFonts w:hint="eastAsia"/>
          <w:szCs w:val="21"/>
        </w:rPr>
        <w:t>单个点位采样</w:t>
      </w:r>
      <w:r>
        <w:rPr>
          <w:szCs w:val="21"/>
        </w:rPr>
        <w:t>深度为10m以内；钻孔要求钻杆外径85mm，内径69mm；取样管外径53mm，内径50mm。</w:t>
      </w:r>
    </w:p>
    <w:p>
      <w:pPr>
        <w:spacing w:line="420" w:lineRule="exact"/>
        <w:ind w:firstLine="420" w:firstLineChars="200"/>
        <w:jc w:val="left"/>
        <w:rPr>
          <w:szCs w:val="21"/>
        </w:rPr>
      </w:pPr>
      <w:r>
        <w:rPr>
          <w:szCs w:val="21"/>
        </w:rPr>
        <w:t>（2）地下水监测井建设：RTK点位放样100个，</w:t>
      </w:r>
      <w:r>
        <w:rPr>
          <w:rFonts w:hint="eastAsia"/>
          <w:szCs w:val="21"/>
        </w:rPr>
        <w:t>单个井深度为1</w:t>
      </w:r>
      <w:r>
        <w:rPr>
          <w:szCs w:val="21"/>
        </w:rPr>
        <w:t>0</w:t>
      </w:r>
      <w:r>
        <w:rPr>
          <w:rFonts w:hint="eastAsia"/>
          <w:szCs w:val="21"/>
        </w:rPr>
        <w:t>m以内，</w:t>
      </w:r>
      <w:r>
        <w:rPr>
          <w:szCs w:val="21"/>
        </w:rPr>
        <w:t>建井总深度约560m；钻孔要求成孔口径200mm，UPVC管口径为63mm，壁厚3mm，并满足现场实际施工条件；洗井100个。</w:t>
      </w:r>
    </w:p>
    <w:p>
      <w:pPr>
        <w:spacing w:line="420" w:lineRule="exact"/>
        <w:ind w:firstLine="420" w:firstLineChars="200"/>
        <w:jc w:val="left"/>
        <w:rPr>
          <w:szCs w:val="21"/>
        </w:rPr>
      </w:pPr>
      <w:r>
        <w:rPr>
          <w:szCs w:val="21"/>
        </w:rPr>
        <w:t>（3）设备进出场：调查计划3批次进场，使用GP钻机</w:t>
      </w:r>
      <w:r>
        <w:rPr>
          <w:rFonts w:hint="eastAsia"/>
          <w:szCs w:val="21"/>
        </w:rPr>
        <w:t>（专业钻探设备）</w:t>
      </w:r>
      <w:r>
        <w:rPr>
          <w:szCs w:val="21"/>
        </w:rPr>
        <w:t>4台，1m</w:t>
      </w:r>
      <w:r>
        <w:rPr>
          <w:szCs w:val="21"/>
          <w:vertAlign w:val="superscript"/>
        </w:rPr>
        <w:t>3</w:t>
      </w:r>
      <w:r>
        <w:rPr>
          <w:szCs w:val="21"/>
        </w:rPr>
        <w:t>挖机5个台班。</w:t>
      </w:r>
    </w:p>
    <w:p>
      <w:pPr>
        <w:spacing w:line="420" w:lineRule="exact"/>
        <w:ind w:firstLine="420" w:firstLineChars="200"/>
        <w:jc w:val="left"/>
        <w:rPr>
          <w:szCs w:val="21"/>
        </w:rPr>
      </w:pPr>
      <w:r>
        <w:rPr>
          <w:szCs w:val="21"/>
        </w:rPr>
        <w:t>具体实施阶段土壤和地下水检测点位数量和钻探深度根据采购方制定的布点方案确定，并根据现场情况和分批检测结果调整。</w:t>
      </w:r>
    </w:p>
    <w:p>
      <w:pPr>
        <w:spacing w:line="420" w:lineRule="exact"/>
        <w:ind w:firstLine="420" w:firstLineChars="200"/>
        <w:jc w:val="left"/>
        <w:rPr>
          <w:szCs w:val="21"/>
        </w:rPr>
      </w:pPr>
      <w:r>
        <w:rPr>
          <w:szCs w:val="21"/>
        </w:rPr>
        <w:t>（4）采样过程中需现场记录、拍照等，现场配备白板，每个钻探点位拍摄的照片必须包含点位位置照片、现场钻探过程照片、剖管后剖面图照片（含深度区间范围）等。现场工作结束3日内按照招标人要求的数据格式提供纸质材料和电子材料（包括但不限于：钻孔记录、RTK测量、测量点位图、成井记录单、洗井记录单、照片等）。</w:t>
      </w:r>
    </w:p>
    <w:p>
      <w:pPr>
        <w:spacing w:line="420" w:lineRule="exact"/>
        <w:ind w:firstLine="422" w:firstLineChars="200"/>
        <w:jc w:val="left"/>
        <w:rPr>
          <w:b/>
          <w:bCs/>
          <w:szCs w:val="21"/>
        </w:rPr>
      </w:pPr>
      <w:r>
        <w:rPr>
          <w:b/>
          <w:bCs/>
          <w:szCs w:val="21"/>
        </w:rPr>
        <w:t>技术要求</w:t>
      </w:r>
    </w:p>
    <w:p>
      <w:pPr>
        <w:spacing w:line="420" w:lineRule="exact"/>
        <w:ind w:firstLine="420" w:firstLineChars="200"/>
        <w:jc w:val="left"/>
        <w:rPr>
          <w:szCs w:val="21"/>
        </w:rPr>
      </w:pPr>
      <w:r>
        <w:rPr>
          <w:szCs w:val="21"/>
        </w:rPr>
        <w:t>钻探单位应按照HJ25.1、HJ25.2、《工业企业场地环境调查评估与修复工作指南（试行）》、《建设用地土壤污染状况调查质量控制技术规定（试行）》等文件要求进行现场采样，包括土孔钻探，地下水监测井建设等工作。</w:t>
      </w:r>
    </w:p>
    <w:p>
      <w:pPr>
        <w:spacing w:line="420" w:lineRule="exact"/>
        <w:ind w:firstLine="422" w:firstLineChars="200"/>
        <w:jc w:val="left"/>
        <w:rPr>
          <w:b/>
          <w:bCs/>
          <w:szCs w:val="21"/>
        </w:rPr>
      </w:pPr>
      <w:r>
        <w:rPr>
          <w:b/>
          <w:bCs/>
          <w:szCs w:val="21"/>
        </w:rPr>
        <w:t>（一）土孔钻探技术要求</w:t>
      </w:r>
    </w:p>
    <w:p>
      <w:pPr>
        <w:spacing w:line="420" w:lineRule="exact"/>
        <w:ind w:firstLine="420" w:firstLineChars="200"/>
        <w:jc w:val="left"/>
        <w:rPr>
          <w:szCs w:val="21"/>
        </w:rPr>
      </w:pPr>
      <w:r>
        <w:rPr>
          <w:szCs w:val="21"/>
        </w:rPr>
        <w:t>土孔钻探按照钻机架设、开孔、钻进、取样、封孔、点位复测的流程进行，各环节技术要求如下：</w:t>
      </w:r>
    </w:p>
    <w:p>
      <w:pPr>
        <w:spacing w:line="420" w:lineRule="exact"/>
        <w:ind w:firstLine="420" w:firstLineChars="200"/>
        <w:jc w:val="left"/>
        <w:rPr>
          <w:szCs w:val="21"/>
        </w:rPr>
      </w:pPr>
      <w:r>
        <w:rPr>
          <w:szCs w:val="21"/>
        </w:rPr>
        <w:t>1、根据钻探设备实际需要清理钻探作业面，架设钻机，设立警示牌或警戒线。</w:t>
      </w:r>
    </w:p>
    <w:p>
      <w:pPr>
        <w:spacing w:line="420" w:lineRule="exact"/>
        <w:ind w:firstLine="420" w:firstLineChars="200"/>
        <w:jc w:val="left"/>
        <w:rPr>
          <w:szCs w:val="21"/>
        </w:rPr>
      </w:pPr>
      <w:r>
        <w:rPr>
          <w:szCs w:val="21"/>
        </w:rPr>
        <w:t>2、开孔直径应大于正常钻探的钻头直径（样品管直径不小于5cm），开孔深度应超过钻具长度。</w:t>
      </w:r>
    </w:p>
    <w:p>
      <w:pPr>
        <w:spacing w:line="420" w:lineRule="exact"/>
        <w:ind w:firstLine="420" w:firstLineChars="200"/>
        <w:jc w:val="left"/>
        <w:rPr>
          <w:szCs w:val="21"/>
        </w:rPr>
      </w:pPr>
      <w:r>
        <w:rPr>
          <w:szCs w:val="21"/>
        </w:rPr>
        <w:t>3、每次钻进深度宜为0cm~150cm，岩芯平均采取率一般不小于70%，其中，粘性土及完整基岩的岩芯采取率不应小于85%，砂土类地层的岩芯采取率不应小于65%，碎石土类地层岩芯采取率不应小于50%，强风化、破碎基岩的岩芯采取率不应小于40%。</w:t>
      </w:r>
    </w:p>
    <w:p>
      <w:pPr>
        <w:spacing w:line="420" w:lineRule="exact"/>
        <w:ind w:firstLine="420" w:firstLineChars="200"/>
        <w:jc w:val="left"/>
        <w:rPr>
          <w:szCs w:val="21"/>
        </w:rPr>
      </w:pPr>
      <w:r>
        <w:rPr>
          <w:szCs w:val="21"/>
        </w:rPr>
        <w:t>应尽量选择无浆液钻进，全程套管跟进，防止钻孔坍塌和上下层交叉污染；不同样品采集之间应对钻头和钻杆进行清洗，清洗废水应集中收集并合法合规处置；钻进过程中揭露地下水时，要停钻等水，待水位稳定后，测量并记录初见水位及静止水位；土壤岩芯样品应按照揭露顺序依次放入岩芯箱，对土层变层位置进行标识。</w:t>
      </w:r>
    </w:p>
    <w:p>
      <w:pPr>
        <w:spacing w:line="420" w:lineRule="exact"/>
        <w:ind w:firstLine="420" w:firstLineChars="200"/>
        <w:jc w:val="left"/>
        <w:rPr>
          <w:szCs w:val="21"/>
        </w:rPr>
      </w:pPr>
      <w:r>
        <w:rPr>
          <w:szCs w:val="21"/>
        </w:rPr>
        <w:t>4、钻孔过程中参照“土壤钻孔采样记录单”要求填写土壤钻孔采样记录单，对采样点、钻进操作、岩芯箱、钻孔记录单等环节进行拍照记录；</w:t>
      </w:r>
    </w:p>
    <w:p>
      <w:pPr>
        <w:spacing w:line="420" w:lineRule="exact"/>
        <w:ind w:firstLine="420" w:firstLineChars="200"/>
        <w:jc w:val="left"/>
        <w:rPr>
          <w:szCs w:val="21"/>
        </w:rPr>
      </w:pPr>
      <w:r>
        <w:rPr>
          <w:szCs w:val="21"/>
        </w:rPr>
        <w:t>采样拍照要求：按照钻井东、南、西、北四个方向进行拍照记录，照片应能反映周边建构筑物、设施等情况，以点位编号+E、S、W、N分别作为东、南、西、北四个方向照片名称；</w:t>
      </w:r>
    </w:p>
    <w:p>
      <w:pPr>
        <w:spacing w:line="420" w:lineRule="exact"/>
        <w:ind w:firstLine="420" w:firstLineChars="200"/>
        <w:jc w:val="left"/>
        <w:rPr>
          <w:szCs w:val="21"/>
        </w:rPr>
      </w:pPr>
      <w:r>
        <w:rPr>
          <w:szCs w:val="21"/>
        </w:rPr>
        <w:t>钻孔拍照要求：应体现钻孔作业中开孔、套管跟进、钻杆更换和取土器使用、原状土样采集等环节操作要求，每个环节至少1张照片；</w:t>
      </w:r>
    </w:p>
    <w:p>
      <w:pPr>
        <w:spacing w:line="420" w:lineRule="exact"/>
        <w:ind w:firstLine="420" w:firstLineChars="200"/>
        <w:jc w:val="left"/>
        <w:rPr>
          <w:szCs w:val="21"/>
        </w:rPr>
      </w:pPr>
      <w:r>
        <w:rPr>
          <w:szCs w:val="21"/>
        </w:rPr>
        <w:t>岩芯箱拍照要求：体现整个钻孔土层的结构特征，重点突出土层的地质变化和污染特征，每个岩芯箱至少1张照片；</w:t>
      </w:r>
    </w:p>
    <w:p>
      <w:pPr>
        <w:spacing w:line="420" w:lineRule="exact"/>
        <w:ind w:firstLine="420" w:firstLineChars="200"/>
        <w:jc w:val="left"/>
        <w:rPr>
          <w:szCs w:val="21"/>
        </w:rPr>
      </w:pPr>
      <w:r>
        <w:rPr>
          <w:szCs w:val="21"/>
        </w:rPr>
        <w:t>其他照片还包括钻孔照片（含钻孔编号和钻孔深度）、钻孔记录单照片等。</w:t>
      </w:r>
    </w:p>
    <w:p>
      <w:pPr>
        <w:spacing w:line="420" w:lineRule="exact"/>
        <w:ind w:firstLine="420" w:firstLineChars="200"/>
        <w:jc w:val="left"/>
        <w:rPr>
          <w:szCs w:val="21"/>
        </w:rPr>
      </w:pPr>
      <w:r>
        <w:rPr>
          <w:szCs w:val="21"/>
        </w:rPr>
        <w:t>5、钻孔结束后，对于不需设立地下水采样井的钻孔应立即封孔并清理恢复作业区地面。</w:t>
      </w:r>
    </w:p>
    <w:p>
      <w:pPr>
        <w:spacing w:line="420" w:lineRule="exact"/>
        <w:ind w:firstLine="420" w:firstLineChars="200"/>
        <w:jc w:val="left"/>
        <w:rPr>
          <w:szCs w:val="21"/>
        </w:rPr>
      </w:pPr>
      <w:r>
        <w:rPr>
          <w:szCs w:val="21"/>
        </w:rPr>
        <w:t>6、钻孔结束后，使用全球定位系统（GPS）或手持智能终端对钻孔的坐标进行复测，记录坐标和高程。</w:t>
      </w:r>
    </w:p>
    <w:p>
      <w:pPr>
        <w:spacing w:line="420" w:lineRule="exact"/>
        <w:ind w:firstLine="422" w:firstLineChars="200"/>
        <w:jc w:val="left"/>
        <w:rPr>
          <w:b/>
          <w:bCs/>
          <w:szCs w:val="21"/>
        </w:rPr>
      </w:pPr>
      <w:r>
        <w:rPr>
          <w:b/>
          <w:bCs/>
          <w:szCs w:val="21"/>
        </w:rPr>
        <w:t>（二）地下水采样井结构要求</w:t>
      </w:r>
    </w:p>
    <w:p>
      <w:pPr>
        <w:spacing w:line="420" w:lineRule="exact"/>
        <w:ind w:firstLine="420" w:firstLineChars="200"/>
        <w:jc w:val="left"/>
        <w:rPr>
          <w:szCs w:val="21"/>
        </w:rPr>
      </w:pPr>
      <w:r>
        <w:rPr>
          <w:szCs w:val="21"/>
        </w:rPr>
        <w:t>根据地下水采样目的，合理设计采样井结构，具体包括井管、滤水管、填料等。</w:t>
      </w:r>
    </w:p>
    <w:p>
      <w:pPr>
        <w:spacing w:line="420" w:lineRule="exact"/>
        <w:ind w:firstLine="420" w:firstLineChars="200"/>
        <w:jc w:val="left"/>
        <w:rPr>
          <w:szCs w:val="21"/>
        </w:rPr>
      </w:pPr>
      <w:r>
        <w:rPr>
          <w:szCs w:val="21"/>
        </w:rPr>
        <w:t>1、井管</w:t>
      </w:r>
    </w:p>
    <w:p>
      <w:pPr>
        <w:spacing w:line="420" w:lineRule="exact"/>
        <w:ind w:firstLine="420" w:firstLineChars="200"/>
        <w:jc w:val="left"/>
        <w:rPr>
          <w:szCs w:val="21"/>
        </w:rPr>
      </w:pPr>
      <w:r>
        <w:rPr>
          <w:rFonts w:hint="eastAsia" w:ascii="宋体" w:hAnsi="宋体" w:cs="宋体"/>
          <w:szCs w:val="21"/>
        </w:rPr>
        <w:t>①</w:t>
      </w:r>
      <w:r>
        <w:rPr>
          <w:szCs w:val="21"/>
        </w:rPr>
        <w:t>地下水采样井井管的内径要求不小于50mm。考虑到井管内径过大会导致地下水紊流，容易使土壤颗粒进入地下水中，故应在满足洗井和样品采集要求的前提下，尽量选择小口径井管。</w:t>
      </w:r>
    </w:p>
    <w:p>
      <w:pPr>
        <w:spacing w:line="420" w:lineRule="exact"/>
        <w:ind w:firstLine="420" w:firstLineChars="200"/>
        <w:jc w:val="left"/>
        <w:rPr>
          <w:szCs w:val="21"/>
        </w:rPr>
      </w:pPr>
      <w:r>
        <w:rPr>
          <w:rFonts w:hint="eastAsia" w:ascii="宋体" w:hAnsi="宋体" w:cs="宋体"/>
          <w:szCs w:val="21"/>
        </w:rPr>
        <w:t>②</w:t>
      </w:r>
      <w:r>
        <w:rPr>
          <w:szCs w:val="21"/>
        </w:rPr>
        <w:t>地下水采样井井管应选择坚固、耐腐蚀、不会对地下水水质造成污染的材料制成。当地下水检测项目为有机物或地下水需要长期监测时，宜选择不锈钢材质井管；当检测项目为无机物或地下水的腐蚀性较强时，宜选择聚氯乙烯（PVC）材质管件，井管材质选择具体参照表1。</w:t>
      </w:r>
    </w:p>
    <w:p>
      <w:pPr>
        <w:spacing w:line="420" w:lineRule="exact"/>
        <w:ind w:firstLine="420" w:firstLineChars="200"/>
        <w:jc w:val="center"/>
        <w:rPr>
          <w:szCs w:val="21"/>
        </w:rPr>
      </w:pPr>
      <w:r>
        <w:rPr>
          <w:szCs w:val="21"/>
        </w:rPr>
        <w:t>表1井管材质选择要求</w:t>
      </w:r>
    </w:p>
    <w:tbl>
      <w:tblPr>
        <w:tblStyle w:val="22"/>
        <w:tblW w:w="5406" w:type="pct"/>
        <w:tblInd w:w="0" w:type="dxa"/>
        <w:tblLayout w:type="fixed"/>
        <w:tblCellMar>
          <w:top w:w="0" w:type="dxa"/>
          <w:left w:w="0" w:type="dxa"/>
          <w:bottom w:w="0" w:type="dxa"/>
          <w:right w:w="0" w:type="dxa"/>
        </w:tblCellMar>
      </w:tblPr>
      <w:tblGrid>
        <w:gridCol w:w="1831"/>
        <w:gridCol w:w="2141"/>
        <w:gridCol w:w="3751"/>
        <w:gridCol w:w="2052"/>
      </w:tblGrid>
      <w:tr>
        <w:tblPrEx>
          <w:tblCellMar>
            <w:top w:w="0" w:type="dxa"/>
            <w:left w:w="0" w:type="dxa"/>
            <w:bottom w:w="0" w:type="dxa"/>
            <w:right w:w="0" w:type="dxa"/>
          </w:tblCellMar>
        </w:tblPrEx>
        <w:trPr>
          <w:trHeight w:val="582" w:hRule="atLeast"/>
        </w:trPr>
        <w:tc>
          <w:tcPr>
            <w:tcW w:w="1827" w:type="dxa"/>
            <w:tcBorders>
              <w:top w:val="single" w:color="000000" w:sz="6" w:space="0"/>
              <w:left w:val="single" w:color="000000" w:sz="6" w:space="0"/>
              <w:bottom w:val="single" w:color="000000" w:sz="4" w:space="0"/>
              <w:right w:val="single" w:color="000000" w:sz="4" w:space="0"/>
            </w:tcBorders>
            <w:vAlign w:val="center"/>
          </w:tcPr>
          <w:p>
            <w:pPr>
              <w:spacing w:line="420" w:lineRule="exact"/>
              <w:jc w:val="center"/>
              <w:rPr>
                <w:szCs w:val="21"/>
              </w:rPr>
            </w:pPr>
            <w:r>
              <w:rPr>
                <w:szCs w:val="21"/>
              </w:rPr>
              <w:t>地下水中污染物</w:t>
            </w:r>
          </w:p>
        </w:tc>
        <w:tc>
          <w:tcPr>
            <w:tcW w:w="2138" w:type="dxa"/>
            <w:tcBorders>
              <w:top w:val="single" w:color="000000" w:sz="6" w:space="0"/>
              <w:left w:val="single" w:color="000000" w:sz="4" w:space="0"/>
              <w:bottom w:val="single" w:color="000000" w:sz="4" w:space="0"/>
              <w:right w:val="single" w:color="000000" w:sz="4" w:space="0"/>
            </w:tcBorders>
            <w:vAlign w:val="center"/>
          </w:tcPr>
          <w:p>
            <w:pPr>
              <w:spacing w:line="420" w:lineRule="exact"/>
              <w:ind w:firstLine="420" w:firstLineChars="200"/>
              <w:rPr>
                <w:szCs w:val="21"/>
              </w:rPr>
            </w:pPr>
            <w:r>
              <w:rPr>
                <w:szCs w:val="21"/>
              </w:rPr>
              <w:t>第一选择</w:t>
            </w:r>
          </w:p>
        </w:tc>
        <w:tc>
          <w:tcPr>
            <w:tcW w:w="3745" w:type="dxa"/>
            <w:tcBorders>
              <w:top w:val="single" w:color="000000" w:sz="6" w:space="0"/>
              <w:left w:val="single" w:color="000000" w:sz="4" w:space="0"/>
              <w:bottom w:val="single" w:color="000000" w:sz="4" w:space="0"/>
              <w:right w:val="single" w:color="000000" w:sz="4" w:space="0"/>
            </w:tcBorders>
            <w:vAlign w:val="center"/>
          </w:tcPr>
          <w:p>
            <w:pPr>
              <w:spacing w:line="420" w:lineRule="exact"/>
              <w:ind w:firstLine="630" w:firstLineChars="300"/>
              <w:rPr>
                <w:szCs w:val="21"/>
              </w:rPr>
            </w:pPr>
            <w:r>
              <w:rPr>
                <w:szCs w:val="21"/>
              </w:rPr>
              <w:t>第二选择</w:t>
            </w:r>
          </w:p>
        </w:tc>
        <w:tc>
          <w:tcPr>
            <w:tcW w:w="2049" w:type="dxa"/>
            <w:tcBorders>
              <w:top w:val="single" w:color="000000" w:sz="6" w:space="0"/>
              <w:left w:val="single" w:color="000000" w:sz="4" w:space="0"/>
              <w:bottom w:val="single" w:color="000000" w:sz="4" w:space="0"/>
              <w:right w:val="single" w:color="000000" w:sz="6" w:space="0"/>
            </w:tcBorders>
            <w:vAlign w:val="center"/>
          </w:tcPr>
          <w:p>
            <w:pPr>
              <w:spacing w:line="420" w:lineRule="exact"/>
              <w:ind w:firstLine="420" w:firstLineChars="200"/>
              <w:rPr>
                <w:szCs w:val="21"/>
              </w:rPr>
            </w:pPr>
            <w:r>
              <w:rPr>
                <w:szCs w:val="21"/>
              </w:rPr>
              <w:t>禁用材质</w:t>
            </w:r>
          </w:p>
        </w:tc>
      </w:tr>
      <w:tr>
        <w:tblPrEx>
          <w:tblCellMar>
            <w:top w:w="0" w:type="dxa"/>
            <w:left w:w="0" w:type="dxa"/>
            <w:bottom w:w="0" w:type="dxa"/>
            <w:right w:w="0" w:type="dxa"/>
          </w:tblCellMar>
        </w:tblPrEx>
        <w:trPr>
          <w:trHeight w:val="1247" w:hRule="atLeast"/>
        </w:trPr>
        <w:tc>
          <w:tcPr>
            <w:tcW w:w="1827" w:type="dxa"/>
            <w:tcBorders>
              <w:top w:val="single" w:color="000000" w:sz="4" w:space="0"/>
              <w:left w:val="single" w:color="000000" w:sz="6" w:space="0"/>
              <w:bottom w:val="single" w:color="000000" w:sz="4" w:space="0"/>
              <w:right w:val="single" w:color="000000" w:sz="4" w:space="0"/>
            </w:tcBorders>
            <w:vAlign w:val="center"/>
          </w:tcPr>
          <w:p>
            <w:pPr>
              <w:spacing w:line="420" w:lineRule="exact"/>
              <w:ind w:firstLine="630" w:firstLineChars="300"/>
              <w:rPr>
                <w:szCs w:val="21"/>
              </w:rPr>
            </w:pPr>
            <w:r>
              <w:rPr>
                <w:szCs w:val="21"/>
              </w:rPr>
              <w:t>金属</w:t>
            </w:r>
          </w:p>
        </w:tc>
        <w:tc>
          <w:tcPr>
            <w:tcW w:w="2138"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center"/>
              <w:rPr>
                <w:szCs w:val="21"/>
              </w:rPr>
            </w:pPr>
            <w:r>
              <w:rPr>
                <w:szCs w:val="21"/>
              </w:rPr>
              <w:t>聚四氟乙烯（PTFE）</w:t>
            </w:r>
          </w:p>
        </w:tc>
        <w:tc>
          <w:tcPr>
            <w:tcW w:w="3745"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szCs w:val="21"/>
              </w:rPr>
            </w:pPr>
            <w:r>
              <w:rPr>
                <w:szCs w:val="21"/>
              </w:rPr>
              <w:t>优先序：丙烯腈-苯乙烯-丁二烯共聚物（ABS）＞硬聚氯乙稀（UPVC）＞PVC</w:t>
            </w:r>
          </w:p>
        </w:tc>
        <w:tc>
          <w:tcPr>
            <w:tcW w:w="2049" w:type="dxa"/>
            <w:tcBorders>
              <w:top w:val="single" w:color="000000" w:sz="4" w:space="0"/>
              <w:left w:val="single" w:color="000000" w:sz="4" w:space="0"/>
              <w:bottom w:val="single" w:color="000000" w:sz="4" w:space="0"/>
              <w:right w:val="single" w:color="000000" w:sz="6" w:space="0"/>
            </w:tcBorders>
            <w:vAlign w:val="center"/>
          </w:tcPr>
          <w:p>
            <w:pPr>
              <w:spacing w:line="420" w:lineRule="exact"/>
              <w:jc w:val="center"/>
              <w:rPr>
                <w:szCs w:val="21"/>
              </w:rPr>
            </w:pPr>
            <w:r>
              <w:rPr>
                <w:szCs w:val="21"/>
              </w:rPr>
              <w:t>304和316不锈钢</w:t>
            </w:r>
          </w:p>
        </w:tc>
      </w:tr>
      <w:tr>
        <w:tblPrEx>
          <w:tblCellMar>
            <w:top w:w="0" w:type="dxa"/>
            <w:left w:w="0" w:type="dxa"/>
            <w:bottom w:w="0" w:type="dxa"/>
            <w:right w:w="0" w:type="dxa"/>
          </w:tblCellMar>
        </w:tblPrEx>
        <w:trPr>
          <w:trHeight w:val="572" w:hRule="atLeast"/>
        </w:trPr>
        <w:tc>
          <w:tcPr>
            <w:tcW w:w="1827" w:type="dxa"/>
            <w:tcBorders>
              <w:top w:val="single" w:color="000000" w:sz="4" w:space="0"/>
              <w:left w:val="single" w:color="000000" w:sz="6" w:space="0"/>
              <w:bottom w:val="single" w:color="000000" w:sz="4" w:space="0"/>
              <w:right w:val="single" w:color="000000" w:sz="4" w:space="0"/>
            </w:tcBorders>
            <w:vAlign w:val="center"/>
          </w:tcPr>
          <w:p>
            <w:pPr>
              <w:spacing w:line="420" w:lineRule="exact"/>
              <w:ind w:firstLine="420" w:firstLineChars="200"/>
              <w:rPr>
                <w:szCs w:val="21"/>
              </w:rPr>
            </w:pPr>
            <w:r>
              <w:rPr>
                <w:szCs w:val="21"/>
              </w:rPr>
              <w:t>有机物</w:t>
            </w:r>
          </w:p>
        </w:tc>
        <w:tc>
          <w:tcPr>
            <w:tcW w:w="2138" w:type="dxa"/>
            <w:tcBorders>
              <w:top w:val="single" w:color="000000" w:sz="4" w:space="0"/>
              <w:left w:val="single" w:color="000000" w:sz="4" w:space="0"/>
              <w:bottom w:val="single" w:color="000000" w:sz="4" w:space="0"/>
              <w:right w:val="single" w:color="000000" w:sz="4" w:space="0"/>
            </w:tcBorders>
            <w:vAlign w:val="center"/>
          </w:tcPr>
          <w:p>
            <w:pPr>
              <w:spacing w:line="420" w:lineRule="exact"/>
              <w:ind w:firstLine="210" w:firstLineChars="100"/>
              <w:rPr>
                <w:szCs w:val="21"/>
              </w:rPr>
            </w:pPr>
            <w:r>
              <w:rPr>
                <w:szCs w:val="21"/>
              </w:rPr>
              <w:t>304和316不锈钢</w:t>
            </w:r>
          </w:p>
        </w:tc>
        <w:tc>
          <w:tcPr>
            <w:tcW w:w="3745"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szCs w:val="21"/>
              </w:rPr>
            </w:pPr>
            <w:r>
              <w:rPr>
                <w:szCs w:val="21"/>
              </w:rPr>
              <w:t>优先序：PTFE＞ABS＞UPVC＞PVC</w:t>
            </w:r>
          </w:p>
        </w:tc>
        <w:tc>
          <w:tcPr>
            <w:tcW w:w="2049" w:type="dxa"/>
            <w:tcBorders>
              <w:top w:val="single" w:color="000000" w:sz="4" w:space="0"/>
              <w:left w:val="single" w:color="000000" w:sz="4" w:space="0"/>
              <w:bottom w:val="single" w:color="000000" w:sz="4" w:space="0"/>
              <w:right w:val="single" w:color="000000" w:sz="6" w:space="0"/>
            </w:tcBorders>
            <w:vAlign w:val="center"/>
          </w:tcPr>
          <w:p>
            <w:pPr>
              <w:spacing w:line="420" w:lineRule="exact"/>
              <w:ind w:firstLine="630" w:firstLineChars="300"/>
              <w:rPr>
                <w:szCs w:val="21"/>
              </w:rPr>
            </w:pPr>
            <w:r>
              <w:rPr>
                <w:szCs w:val="21"/>
              </w:rPr>
              <w:t>无</w:t>
            </w:r>
          </w:p>
        </w:tc>
      </w:tr>
      <w:tr>
        <w:tblPrEx>
          <w:tblCellMar>
            <w:top w:w="0" w:type="dxa"/>
            <w:left w:w="0" w:type="dxa"/>
            <w:bottom w:w="0" w:type="dxa"/>
            <w:right w:w="0" w:type="dxa"/>
          </w:tblCellMar>
        </w:tblPrEx>
        <w:trPr>
          <w:trHeight w:val="602" w:hRule="atLeast"/>
        </w:trPr>
        <w:tc>
          <w:tcPr>
            <w:tcW w:w="1827" w:type="dxa"/>
            <w:tcBorders>
              <w:top w:val="single" w:color="000000" w:sz="4" w:space="0"/>
              <w:left w:val="single" w:color="000000" w:sz="6" w:space="0"/>
              <w:bottom w:val="single" w:color="000000" w:sz="6" w:space="0"/>
              <w:right w:val="single" w:color="000000" w:sz="4" w:space="0"/>
            </w:tcBorders>
            <w:vAlign w:val="center"/>
          </w:tcPr>
          <w:p>
            <w:pPr>
              <w:spacing w:line="420" w:lineRule="exact"/>
              <w:jc w:val="center"/>
              <w:rPr>
                <w:szCs w:val="21"/>
              </w:rPr>
            </w:pPr>
            <w:r>
              <w:rPr>
                <w:szCs w:val="21"/>
              </w:rPr>
              <w:t>金属和有机物</w:t>
            </w:r>
          </w:p>
        </w:tc>
        <w:tc>
          <w:tcPr>
            <w:tcW w:w="2138" w:type="dxa"/>
            <w:tcBorders>
              <w:top w:val="single" w:color="000000" w:sz="4" w:space="0"/>
              <w:left w:val="single" w:color="000000" w:sz="4" w:space="0"/>
              <w:bottom w:val="single" w:color="000000" w:sz="6" w:space="0"/>
              <w:right w:val="single" w:color="000000" w:sz="4" w:space="0"/>
            </w:tcBorders>
            <w:vAlign w:val="center"/>
          </w:tcPr>
          <w:p>
            <w:pPr>
              <w:spacing w:line="420" w:lineRule="exact"/>
              <w:ind w:firstLine="840" w:firstLineChars="400"/>
              <w:rPr>
                <w:szCs w:val="21"/>
              </w:rPr>
            </w:pPr>
            <w:r>
              <w:rPr>
                <w:szCs w:val="21"/>
              </w:rPr>
              <w:t>无</w:t>
            </w:r>
          </w:p>
        </w:tc>
        <w:tc>
          <w:tcPr>
            <w:tcW w:w="3745" w:type="dxa"/>
            <w:tcBorders>
              <w:top w:val="single" w:color="000000" w:sz="4" w:space="0"/>
              <w:left w:val="single" w:color="000000" w:sz="4" w:space="0"/>
              <w:bottom w:val="single" w:color="000000" w:sz="6" w:space="0"/>
              <w:right w:val="single" w:color="000000" w:sz="4" w:space="0"/>
            </w:tcBorders>
            <w:vAlign w:val="center"/>
          </w:tcPr>
          <w:p>
            <w:pPr>
              <w:spacing w:line="420" w:lineRule="exact"/>
              <w:jc w:val="left"/>
              <w:rPr>
                <w:szCs w:val="21"/>
              </w:rPr>
            </w:pPr>
            <w:r>
              <w:rPr>
                <w:szCs w:val="21"/>
              </w:rPr>
              <w:t>优先序：PTFE＞ABS＞UPVC＞PVC</w:t>
            </w:r>
          </w:p>
        </w:tc>
        <w:tc>
          <w:tcPr>
            <w:tcW w:w="2049" w:type="dxa"/>
            <w:tcBorders>
              <w:top w:val="single" w:color="000000" w:sz="4" w:space="0"/>
              <w:left w:val="single" w:color="000000" w:sz="4" w:space="0"/>
              <w:bottom w:val="single" w:color="000000" w:sz="6" w:space="0"/>
              <w:right w:val="single" w:color="000000" w:sz="6" w:space="0"/>
            </w:tcBorders>
            <w:vAlign w:val="center"/>
          </w:tcPr>
          <w:p>
            <w:pPr>
              <w:spacing w:line="420" w:lineRule="exact"/>
              <w:jc w:val="center"/>
              <w:rPr>
                <w:szCs w:val="21"/>
              </w:rPr>
            </w:pPr>
            <w:r>
              <w:rPr>
                <w:szCs w:val="21"/>
              </w:rPr>
              <w:t>304和316不锈钢</w:t>
            </w:r>
          </w:p>
        </w:tc>
      </w:tr>
    </w:tbl>
    <w:p>
      <w:pPr>
        <w:spacing w:line="420" w:lineRule="exact"/>
        <w:ind w:firstLine="420" w:firstLineChars="200"/>
        <w:jc w:val="left"/>
        <w:rPr>
          <w:szCs w:val="21"/>
        </w:rPr>
      </w:pPr>
      <w:r>
        <w:rPr>
          <w:rFonts w:hint="eastAsia" w:ascii="宋体" w:hAnsi="宋体" w:cs="宋体"/>
          <w:szCs w:val="21"/>
        </w:rPr>
        <w:t>③</w:t>
      </w:r>
      <w:r>
        <w:rPr>
          <w:szCs w:val="21"/>
        </w:rPr>
        <w:t>井管连接采用螺纹进行连接，应避免使用粘合剂，并避免连接处发生渗漏。井管连接后，各井管轴心线应保持一致。</w:t>
      </w:r>
    </w:p>
    <w:p>
      <w:pPr>
        <w:spacing w:line="420" w:lineRule="exact"/>
        <w:ind w:firstLine="420" w:firstLineChars="200"/>
        <w:jc w:val="left"/>
        <w:rPr>
          <w:szCs w:val="21"/>
        </w:rPr>
      </w:pPr>
      <w:r>
        <w:rPr>
          <w:szCs w:val="21"/>
        </w:rPr>
        <w:t>2、滤水管</w:t>
      </w:r>
    </w:p>
    <w:p>
      <w:pPr>
        <w:spacing w:line="420" w:lineRule="exact"/>
        <w:ind w:firstLine="420" w:firstLineChars="200"/>
        <w:jc w:val="left"/>
        <w:rPr>
          <w:szCs w:val="21"/>
        </w:rPr>
      </w:pPr>
      <w:r>
        <w:rPr>
          <w:szCs w:val="21"/>
        </w:rPr>
        <w:t>滤水管设计、滤水管的型号、材质等应与井管匹配，具体设计要求如下：</w:t>
      </w:r>
    </w:p>
    <w:p>
      <w:pPr>
        <w:spacing w:line="420" w:lineRule="exact"/>
        <w:ind w:firstLine="420" w:firstLineChars="200"/>
        <w:jc w:val="left"/>
        <w:rPr>
          <w:szCs w:val="21"/>
        </w:rPr>
      </w:pPr>
      <w:r>
        <w:rPr>
          <w:rFonts w:hint="eastAsia" w:ascii="宋体" w:hAnsi="宋体" w:cs="宋体"/>
          <w:szCs w:val="21"/>
        </w:rPr>
        <w:t>①</w:t>
      </w:r>
      <w:r>
        <w:rPr>
          <w:szCs w:val="21"/>
        </w:rPr>
        <w:t>为了避免钻穿含水层底板，地下水水位以下的滤水管长度不宜超过3m，地下水水位以上的滤水管长度根据地下水水位动态变化确定。</w:t>
      </w:r>
    </w:p>
    <w:p>
      <w:pPr>
        <w:spacing w:line="420" w:lineRule="exact"/>
        <w:ind w:firstLine="420" w:firstLineChars="200"/>
        <w:jc w:val="left"/>
        <w:rPr>
          <w:szCs w:val="21"/>
        </w:rPr>
      </w:pPr>
      <w:r>
        <w:rPr>
          <w:rFonts w:hint="eastAsia" w:ascii="宋体" w:hAnsi="宋体" w:cs="宋体"/>
          <w:szCs w:val="21"/>
        </w:rPr>
        <w:t>②</w:t>
      </w:r>
      <w:r>
        <w:rPr>
          <w:szCs w:val="21"/>
        </w:rPr>
        <w:t>滤水管应置于拟取样含水层中以取得代表性水样。若地下水中可能或已经发现存在低密度非水相液体（LNAPL），滤水管位置应达到潜水面处；若地下水中可能或已经发现存在高密度非水相液体（DNAPL），滤水管应达到潜水层的底部，但应避免穿透隔水层。</w:t>
      </w:r>
    </w:p>
    <w:p>
      <w:pPr>
        <w:spacing w:line="420" w:lineRule="exact"/>
        <w:ind w:firstLine="420" w:firstLineChars="200"/>
        <w:jc w:val="left"/>
        <w:rPr>
          <w:szCs w:val="21"/>
        </w:rPr>
      </w:pPr>
      <w:r>
        <w:rPr>
          <w:rFonts w:hint="eastAsia" w:ascii="宋体" w:hAnsi="宋体" w:cs="宋体"/>
          <w:szCs w:val="21"/>
        </w:rPr>
        <w:t>③</w:t>
      </w:r>
      <w:r>
        <w:rPr>
          <w:szCs w:val="21"/>
        </w:rPr>
        <w:t>宜选用缝宽0.2mm~0.5mm的割缝筛管或孔隙能够阻挡90%的滤层材料的滤水管，割缝筛管具体选择依据见表2。且滤水管外以细铁丝包裹和固定2~3层的100目尼龙网。</w:t>
      </w:r>
    </w:p>
    <w:p>
      <w:pPr>
        <w:spacing w:line="420" w:lineRule="exact"/>
        <w:ind w:firstLine="420" w:firstLineChars="200"/>
        <w:jc w:val="center"/>
        <w:rPr>
          <w:szCs w:val="21"/>
        </w:rPr>
      </w:pPr>
      <w:r>
        <w:rPr>
          <w:szCs w:val="21"/>
        </w:rPr>
        <w:t>表2割缝筛管选择要求</w:t>
      </w:r>
    </w:p>
    <w:tbl>
      <w:tblPr>
        <w:tblStyle w:val="22"/>
        <w:tblW w:w="5000" w:type="pct"/>
        <w:jc w:val="center"/>
        <w:tblLayout w:type="fixed"/>
        <w:tblCellMar>
          <w:top w:w="0" w:type="dxa"/>
          <w:left w:w="0" w:type="dxa"/>
          <w:bottom w:w="0" w:type="dxa"/>
          <w:right w:w="0" w:type="dxa"/>
        </w:tblCellMar>
      </w:tblPr>
      <w:tblGrid>
        <w:gridCol w:w="3500"/>
        <w:gridCol w:w="2122"/>
        <w:gridCol w:w="1697"/>
        <w:gridCol w:w="1718"/>
      </w:tblGrid>
      <w:tr>
        <w:tblPrEx>
          <w:tblCellMar>
            <w:top w:w="0" w:type="dxa"/>
            <w:left w:w="0" w:type="dxa"/>
            <w:bottom w:w="0" w:type="dxa"/>
            <w:right w:w="0" w:type="dxa"/>
          </w:tblCellMar>
        </w:tblPrEx>
        <w:trPr>
          <w:trHeight w:val="454" w:hRule="atLeast"/>
          <w:jc w:val="center"/>
        </w:trPr>
        <w:tc>
          <w:tcPr>
            <w:tcW w:w="3213" w:type="dxa"/>
            <w:vMerge w:val="restart"/>
            <w:tcBorders>
              <w:top w:val="single" w:color="000000" w:sz="4" w:space="0"/>
              <w:left w:val="single" w:color="000000" w:sz="4" w:space="0"/>
              <w:bottom w:val="single" w:color="000000" w:sz="4" w:space="0"/>
              <w:right w:val="single" w:color="000000" w:sz="4" w:space="0"/>
            </w:tcBorders>
            <w:vAlign w:val="center"/>
          </w:tcPr>
          <w:p>
            <w:pPr>
              <w:spacing w:line="420" w:lineRule="exact"/>
              <w:ind w:firstLine="420" w:firstLineChars="200"/>
              <w:jc w:val="left"/>
              <w:rPr>
                <w:szCs w:val="21"/>
              </w:rPr>
            </w:pPr>
            <w:r>
              <w:rPr>
                <w:szCs w:val="21"/>
              </w:rPr>
              <w:t>割缝筛管类型</w:t>
            </w:r>
          </w:p>
        </w:tc>
        <w:tc>
          <w:tcPr>
            <w:tcW w:w="5083" w:type="dxa"/>
            <w:gridSpan w:val="3"/>
            <w:tcBorders>
              <w:top w:val="single" w:color="000000" w:sz="4" w:space="0"/>
              <w:left w:val="single" w:color="000000" w:sz="4" w:space="0"/>
              <w:bottom w:val="single" w:color="000000" w:sz="4" w:space="0"/>
              <w:right w:val="single" w:color="000000" w:sz="4" w:space="0"/>
            </w:tcBorders>
            <w:vAlign w:val="center"/>
          </w:tcPr>
          <w:p>
            <w:pPr>
              <w:spacing w:line="420" w:lineRule="exact"/>
              <w:ind w:firstLine="420" w:firstLineChars="200"/>
              <w:jc w:val="left"/>
              <w:rPr>
                <w:szCs w:val="21"/>
              </w:rPr>
            </w:pPr>
            <w:r>
              <w:rPr>
                <w:szCs w:val="21"/>
              </w:rPr>
              <w:t>含水层类型</w:t>
            </w:r>
          </w:p>
        </w:tc>
      </w:tr>
      <w:tr>
        <w:tblPrEx>
          <w:tblCellMar>
            <w:top w:w="0" w:type="dxa"/>
            <w:left w:w="0" w:type="dxa"/>
            <w:bottom w:w="0" w:type="dxa"/>
            <w:right w:w="0" w:type="dxa"/>
          </w:tblCellMar>
        </w:tblPrEx>
        <w:trPr>
          <w:trHeight w:val="454" w:hRule="atLeast"/>
          <w:jc w:val="center"/>
        </w:trPr>
        <w:tc>
          <w:tcPr>
            <w:tcW w:w="3213" w:type="dxa"/>
            <w:vMerge w:val="continue"/>
            <w:tcBorders>
              <w:top w:val="single" w:color="000000" w:sz="4" w:space="0"/>
              <w:left w:val="single" w:color="000000" w:sz="4" w:space="0"/>
              <w:bottom w:val="single" w:color="000000" w:sz="4" w:space="0"/>
              <w:right w:val="single" w:color="000000" w:sz="4" w:space="0"/>
            </w:tcBorders>
            <w:vAlign w:val="center"/>
          </w:tcPr>
          <w:p>
            <w:pPr>
              <w:spacing w:line="420" w:lineRule="exact"/>
              <w:ind w:firstLine="420" w:firstLineChars="200"/>
              <w:jc w:val="left"/>
              <w:rPr>
                <w:szCs w:val="21"/>
              </w:rPr>
            </w:pPr>
          </w:p>
        </w:tc>
        <w:tc>
          <w:tcPr>
            <w:tcW w:w="1948" w:type="dxa"/>
            <w:vMerge w:val="restart"/>
            <w:tcBorders>
              <w:top w:val="single" w:color="000000" w:sz="4" w:space="0"/>
              <w:left w:val="single" w:color="000000" w:sz="4" w:space="0"/>
              <w:bottom w:val="single" w:color="000000" w:sz="4" w:space="0"/>
              <w:right w:val="single" w:color="000000" w:sz="4" w:space="0"/>
            </w:tcBorders>
            <w:vAlign w:val="center"/>
          </w:tcPr>
          <w:p>
            <w:pPr>
              <w:spacing w:line="420" w:lineRule="exact"/>
              <w:ind w:firstLine="420" w:firstLineChars="200"/>
              <w:jc w:val="left"/>
              <w:rPr>
                <w:szCs w:val="21"/>
              </w:rPr>
            </w:pPr>
            <w:r>
              <w:rPr>
                <w:szCs w:val="21"/>
              </w:rPr>
              <w:t>均匀的中粗砂</w:t>
            </w:r>
          </w:p>
        </w:tc>
        <w:tc>
          <w:tcPr>
            <w:tcW w:w="3135" w:type="dxa"/>
            <w:gridSpan w:val="2"/>
            <w:tcBorders>
              <w:top w:val="single" w:color="000000" w:sz="4" w:space="0"/>
              <w:left w:val="single" w:color="000000" w:sz="4" w:space="0"/>
              <w:bottom w:val="single" w:color="000000" w:sz="4" w:space="0"/>
              <w:right w:val="single" w:color="000000" w:sz="4" w:space="0"/>
            </w:tcBorders>
            <w:vAlign w:val="center"/>
          </w:tcPr>
          <w:p>
            <w:pPr>
              <w:spacing w:line="420" w:lineRule="exact"/>
              <w:ind w:firstLine="420" w:firstLineChars="200"/>
              <w:jc w:val="left"/>
              <w:rPr>
                <w:szCs w:val="21"/>
              </w:rPr>
            </w:pPr>
            <w:r>
              <w:rPr>
                <w:szCs w:val="21"/>
              </w:rPr>
              <w:t>非均匀的</w:t>
            </w:r>
          </w:p>
        </w:tc>
      </w:tr>
      <w:tr>
        <w:tblPrEx>
          <w:tblCellMar>
            <w:top w:w="0" w:type="dxa"/>
            <w:left w:w="0" w:type="dxa"/>
            <w:bottom w:w="0" w:type="dxa"/>
            <w:right w:w="0" w:type="dxa"/>
          </w:tblCellMar>
        </w:tblPrEx>
        <w:trPr>
          <w:trHeight w:val="454" w:hRule="atLeast"/>
          <w:jc w:val="center"/>
        </w:trPr>
        <w:tc>
          <w:tcPr>
            <w:tcW w:w="3213" w:type="dxa"/>
            <w:vMerge w:val="continue"/>
            <w:tcBorders>
              <w:top w:val="single" w:color="000000" w:sz="4" w:space="0"/>
              <w:left w:val="single" w:color="000000" w:sz="4" w:space="0"/>
              <w:bottom w:val="single" w:color="000000" w:sz="4" w:space="0"/>
              <w:right w:val="single" w:color="000000" w:sz="4" w:space="0"/>
            </w:tcBorders>
            <w:vAlign w:val="center"/>
          </w:tcPr>
          <w:p>
            <w:pPr>
              <w:spacing w:line="420" w:lineRule="exact"/>
              <w:ind w:firstLine="420" w:firstLineChars="200"/>
              <w:jc w:val="left"/>
              <w:rPr>
                <w:szCs w:val="21"/>
              </w:rPr>
            </w:pPr>
          </w:p>
        </w:tc>
        <w:tc>
          <w:tcPr>
            <w:tcW w:w="1948" w:type="dxa"/>
            <w:vMerge w:val="continue"/>
            <w:tcBorders>
              <w:top w:val="single" w:color="000000" w:sz="4" w:space="0"/>
              <w:left w:val="single" w:color="000000" w:sz="4" w:space="0"/>
              <w:bottom w:val="single" w:color="000000" w:sz="4" w:space="0"/>
              <w:right w:val="single" w:color="000000" w:sz="4" w:space="0"/>
            </w:tcBorders>
            <w:vAlign w:val="center"/>
          </w:tcPr>
          <w:p>
            <w:pPr>
              <w:spacing w:line="420" w:lineRule="exact"/>
              <w:ind w:firstLine="420" w:firstLineChars="200"/>
              <w:jc w:val="left"/>
              <w:rPr>
                <w:szCs w:val="21"/>
              </w:rPr>
            </w:pPr>
          </w:p>
        </w:tc>
        <w:tc>
          <w:tcPr>
            <w:tcW w:w="1558" w:type="dxa"/>
            <w:tcBorders>
              <w:top w:val="single" w:color="000000" w:sz="4" w:space="0"/>
              <w:left w:val="single" w:color="000000" w:sz="4" w:space="0"/>
              <w:bottom w:val="single" w:color="000000" w:sz="4" w:space="0"/>
              <w:right w:val="single" w:color="000000" w:sz="4" w:space="0"/>
            </w:tcBorders>
            <w:vAlign w:val="center"/>
          </w:tcPr>
          <w:p>
            <w:pPr>
              <w:spacing w:line="420" w:lineRule="exact"/>
              <w:ind w:firstLine="420" w:firstLineChars="200"/>
              <w:jc w:val="left"/>
              <w:rPr>
                <w:szCs w:val="21"/>
              </w:rPr>
            </w:pPr>
            <w:r>
              <w:rPr>
                <w:szCs w:val="21"/>
              </w:rPr>
              <w:t>中砂</w:t>
            </w:r>
          </w:p>
        </w:tc>
        <w:tc>
          <w:tcPr>
            <w:tcW w:w="1577" w:type="dxa"/>
            <w:tcBorders>
              <w:top w:val="single" w:color="000000" w:sz="4" w:space="0"/>
              <w:left w:val="single" w:color="000000" w:sz="4" w:space="0"/>
              <w:bottom w:val="single" w:color="000000" w:sz="4" w:space="0"/>
              <w:right w:val="single" w:color="000000" w:sz="4" w:space="0"/>
            </w:tcBorders>
            <w:vAlign w:val="center"/>
          </w:tcPr>
          <w:p>
            <w:pPr>
              <w:spacing w:line="420" w:lineRule="exact"/>
              <w:ind w:firstLine="420" w:firstLineChars="200"/>
              <w:jc w:val="left"/>
              <w:rPr>
                <w:szCs w:val="21"/>
              </w:rPr>
            </w:pPr>
            <w:r>
              <w:rPr>
                <w:szCs w:val="21"/>
              </w:rPr>
              <w:t>粗砂</w:t>
            </w:r>
          </w:p>
        </w:tc>
      </w:tr>
      <w:tr>
        <w:tblPrEx>
          <w:tblCellMar>
            <w:top w:w="0" w:type="dxa"/>
            <w:left w:w="0" w:type="dxa"/>
            <w:bottom w:w="0" w:type="dxa"/>
            <w:right w:w="0" w:type="dxa"/>
          </w:tblCellMar>
        </w:tblPrEx>
        <w:trPr>
          <w:trHeight w:val="454" w:hRule="atLeast"/>
          <w:jc w:val="center"/>
        </w:trPr>
        <w:tc>
          <w:tcPr>
            <w:tcW w:w="3213" w:type="dxa"/>
            <w:tcBorders>
              <w:top w:val="single" w:color="000000" w:sz="4" w:space="0"/>
              <w:left w:val="single" w:color="000000" w:sz="4" w:space="0"/>
              <w:bottom w:val="single" w:color="000000" w:sz="4" w:space="0"/>
              <w:right w:val="single" w:color="000000" w:sz="4" w:space="0"/>
            </w:tcBorders>
            <w:vAlign w:val="center"/>
          </w:tcPr>
          <w:p>
            <w:pPr>
              <w:spacing w:line="420" w:lineRule="exact"/>
              <w:ind w:firstLine="420" w:firstLineChars="200"/>
              <w:jc w:val="left"/>
              <w:rPr>
                <w:szCs w:val="21"/>
              </w:rPr>
            </w:pPr>
            <w:r>
              <w:rPr>
                <w:szCs w:val="21"/>
              </w:rPr>
              <w:t>包网割缝筛管</w:t>
            </w:r>
          </w:p>
        </w:tc>
        <w:tc>
          <w:tcPr>
            <w:tcW w:w="1948" w:type="dxa"/>
            <w:tcBorders>
              <w:top w:val="single" w:color="000000" w:sz="4" w:space="0"/>
              <w:left w:val="single" w:color="000000" w:sz="4" w:space="0"/>
              <w:bottom w:val="single" w:color="000000" w:sz="4" w:space="0"/>
              <w:right w:val="single" w:color="000000" w:sz="4" w:space="0"/>
            </w:tcBorders>
            <w:vAlign w:val="center"/>
          </w:tcPr>
          <w:p>
            <w:pPr>
              <w:spacing w:line="420" w:lineRule="exact"/>
              <w:ind w:firstLine="420" w:firstLineChars="200"/>
              <w:jc w:val="left"/>
              <w:rPr>
                <w:szCs w:val="21"/>
              </w:rPr>
            </w:pPr>
            <w:r>
              <w:rPr>
                <w:szCs w:val="21"/>
              </w:rPr>
              <w:t>δ=(1.5~2)d50</w:t>
            </w:r>
          </w:p>
        </w:tc>
        <w:tc>
          <w:tcPr>
            <w:tcW w:w="1558" w:type="dxa"/>
            <w:vMerge w:val="restart"/>
            <w:tcBorders>
              <w:top w:val="single" w:color="000000" w:sz="4" w:space="0"/>
              <w:left w:val="single" w:color="000000" w:sz="4" w:space="0"/>
              <w:bottom w:val="single" w:color="000000" w:sz="4" w:space="0"/>
              <w:right w:val="single" w:color="000000" w:sz="4" w:space="0"/>
            </w:tcBorders>
            <w:vAlign w:val="center"/>
          </w:tcPr>
          <w:p>
            <w:pPr>
              <w:spacing w:line="420" w:lineRule="exact"/>
              <w:ind w:firstLine="420" w:firstLineChars="200"/>
              <w:jc w:val="left"/>
              <w:rPr>
                <w:szCs w:val="21"/>
              </w:rPr>
            </w:pPr>
            <w:r>
              <w:rPr>
                <w:szCs w:val="21"/>
              </w:rPr>
              <w:t>δ=d40~d50</w:t>
            </w:r>
          </w:p>
        </w:tc>
        <w:tc>
          <w:tcPr>
            <w:tcW w:w="1577" w:type="dxa"/>
            <w:vMerge w:val="restart"/>
            <w:tcBorders>
              <w:top w:val="single" w:color="000000" w:sz="4" w:space="0"/>
              <w:left w:val="single" w:color="000000" w:sz="4" w:space="0"/>
              <w:bottom w:val="single" w:color="000000" w:sz="4" w:space="0"/>
              <w:right w:val="single" w:color="000000" w:sz="4" w:space="0"/>
            </w:tcBorders>
            <w:vAlign w:val="center"/>
          </w:tcPr>
          <w:p>
            <w:pPr>
              <w:spacing w:line="420" w:lineRule="exact"/>
              <w:ind w:firstLine="420" w:firstLineChars="200"/>
              <w:jc w:val="left"/>
              <w:rPr>
                <w:szCs w:val="21"/>
              </w:rPr>
            </w:pPr>
            <w:r>
              <w:rPr>
                <w:szCs w:val="21"/>
              </w:rPr>
              <w:t>δ=d30~d40</w:t>
            </w:r>
          </w:p>
        </w:tc>
      </w:tr>
      <w:tr>
        <w:tblPrEx>
          <w:tblCellMar>
            <w:top w:w="0" w:type="dxa"/>
            <w:left w:w="0" w:type="dxa"/>
            <w:bottom w:w="0" w:type="dxa"/>
            <w:right w:w="0" w:type="dxa"/>
          </w:tblCellMar>
        </w:tblPrEx>
        <w:trPr>
          <w:trHeight w:val="454" w:hRule="atLeast"/>
          <w:jc w:val="center"/>
        </w:trPr>
        <w:tc>
          <w:tcPr>
            <w:tcW w:w="3213" w:type="dxa"/>
            <w:tcBorders>
              <w:top w:val="single" w:color="000000" w:sz="4" w:space="0"/>
              <w:left w:val="single" w:color="000000" w:sz="4" w:space="0"/>
              <w:bottom w:val="single" w:color="000000" w:sz="4" w:space="0"/>
              <w:right w:val="single" w:color="000000" w:sz="4" w:space="0"/>
            </w:tcBorders>
            <w:vAlign w:val="center"/>
          </w:tcPr>
          <w:p>
            <w:pPr>
              <w:spacing w:line="420" w:lineRule="exact"/>
              <w:ind w:firstLine="420" w:firstLineChars="200"/>
              <w:jc w:val="left"/>
              <w:rPr>
                <w:szCs w:val="21"/>
              </w:rPr>
            </w:pPr>
            <w:r>
              <w:rPr>
                <w:szCs w:val="21"/>
              </w:rPr>
              <w:t>缠丝割缝筛管或其他割缝筛管</w:t>
            </w:r>
          </w:p>
        </w:tc>
        <w:tc>
          <w:tcPr>
            <w:tcW w:w="1948" w:type="dxa"/>
            <w:tcBorders>
              <w:top w:val="single" w:color="000000" w:sz="4" w:space="0"/>
              <w:left w:val="single" w:color="000000" w:sz="4" w:space="0"/>
              <w:bottom w:val="single" w:color="000000" w:sz="4" w:space="0"/>
              <w:right w:val="single" w:color="000000" w:sz="4" w:space="0"/>
            </w:tcBorders>
            <w:vAlign w:val="center"/>
          </w:tcPr>
          <w:p>
            <w:pPr>
              <w:spacing w:line="420" w:lineRule="exact"/>
              <w:ind w:firstLine="420" w:firstLineChars="200"/>
              <w:jc w:val="left"/>
              <w:rPr>
                <w:szCs w:val="21"/>
              </w:rPr>
            </w:pPr>
            <w:r>
              <w:rPr>
                <w:szCs w:val="21"/>
              </w:rPr>
              <w:t>δ=(1~1.5)d50</w:t>
            </w:r>
          </w:p>
        </w:tc>
        <w:tc>
          <w:tcPr>
            <w:tcW w:w="1558" w:type="dxa"/>
            <w:vMerge w:val="continue"/>
            <w:tcBorders>
              <w:top w:val="single" w:color="000000" w:sz="4" w:space="0"/>
              <w:left w:val="single" w:color="000000" w:sz="4" w:space="0"/>
              <w:bottom w:val="single" w:color="000000" w:sz="4" w:space="0"/>
              <w:right w:val="single" w:color="000000" w:sz="4" w:space="0"/>
            </w:tcBorders>
            <w:vAlign w:val="center"/>
          </w:tcPr>
          <w:p>
            <w:pPr>
              <w:spacing w:line="420" w:lineRule="exact"/>
              <w:ind w:firstLine="420" w:firstLineChars="200"/>
              <w:jc w:val="left"/>
              <w:rPr>
                <w:szCs w:val="21"/>
              </w:rPr>
            </w:pPr>
          </w:p>
        </w:tc>
        <w:tc>
          <w:tcPr>
            <w:tcW w:w="1577" w:type="dxa"/>
            <w:vMerge w:val="continue"/>
            <w:tcBorders>
              <w:top w:val="single" w:color="000000" w:sz="4" w:space="0"/>
              <w:left w:val="single" w:color="000000" w:sz="4" w:space="0"/>
              <w:bottom w:val="single" w:color="000000" w:sz="4" w:space="0"/>
              <w:right w:val="single" w:color="000000" w:sz="4" w:space="0"/>
            </w:tcBorders>
            <w:vAlign w:val="center"/>
          </w:tcPr>
          <w:p>
            <w:pPr>
              <w:spacing w:line="420" w:lineRule="exact"/>
              <w:ind w:firstLine="420" w:firstLineChars="200"/>
              <w:jc w:val="left"/>
              <w:rPr>
                <w:szCs w:val="21"/>
              </w:rPr>
            </w:pPr>
          </w:p>
        </w:tc>
      </w:tr>
      <w:tr>
        <w:tblPrEx>
          <w:tblCellMar>
            <w:top w:w="0" w:type="dxa"/>
            <w:left w:w="0" w:type="dxa"/>
            <w:bottom w:w="0" w:type="dxa"/>
            <w:right w:w="0" w:type="dxa"/>
          </w:tblCellMar>
        </w:tblPrEx>
        <w:trPr>
          <w:trHeight w:val="454" w:hRule="atLeast"/>
          <w:jc w:val="center"/>
        </w:trPr>
        <w:tc>
          <w:tcPr>
            <w:tcW w:w="8296" w:type="dxa"/>
            <w:gridSpan w:val="4"/>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szCs w:val="21"/>
              </w:rPr>
            </w:pPr>
            <w:r>
              <w:rPr>
                <w:szCs w:val="21"/>
              </w:rPr>
              <w:t>注：δ为滤缝宽度；d30、d40、d50分别为含水层试样在筛分时能通过筛眼的颗粒累计重量占试样全重分别为30%、40%、50%时的筛眼直径。</w:t>
            </w:r>
          </w:p>
        </w:tc>
      </w:tr>
    </w:tbl>
    <w:p>
      <w:pPr>
        <w:spacing w:line="420" w:lineRule="exact"/>
        <w:ind w:firstLine="420" w:firstLineChars="200"/>
        <w:jc w:val="left"/>
        <w:rPr>
          <w:szCs w:val="21"/>
        </w:rPr>
      </w:pPr>
      <w:r>
        <w:rPr>
          <w:rFonts w:hint="eastAsia" w:ascii="宋体" w:hAnsi="宋体" w:cs="宋体"/>
          <w:szCs w:val="21"/>
        </w:rPr>
        <w:t>④</w:t>
      </w:r>
      <w:r>
        <w:rPr>
          <w:szCs w:val="21"/>
        </w:rPr>
        <w:t>沉淀管的长度一般为50cm。若含水层厚度超过3m，地下水采样井原则上可以不设沉淀管，但滤水管底部必须用管堵密封。</w:t>
      </w:r>
    </w:p>
    <w:p>
      <w:pPr>
        <w:spacing w:line="420" w:lineRule="exact"/>
        <w:ind w:firstLine="420" w:firstLineChars="200"/>
        <w:jc w:val="left"/>
        <w:rPr>
          <w:szCs w:val="21"/>
        </w:rPr>
      </w:pPr>
      <w:r>
        <w:rPr>
          <w:szCs w:val="21"/>
        </w:rPr>
        <w:t>3、填料</w:t>
      </w:r>
    </w:p>
    <w:p>
      <w:pPr>
        <w:spacing w:line="420" w:lineRule="exact"/>
        <w:ind w:firstLine="420" w:firstLineChars="200"/>
        <w:jc w:val="left"/>
        <w:rPr>
          <w:szCs w:val="21"/>
        </w:rPr>
      </w:pPr>
      <w:r>
        <w:rPr>
          <w:szCs w:val="21"/>
        </w:rPr>
        <w:t>地下水采样井填料从下至上依次为滤料层、止水层、回填层，各层填料要求如下：</w:t>
      </w:r>
    </w:p>
    <w:p>
      <w:pPr>
        <w:spacing w:line="420" w:lineRule="exact"/>
        <w:ind w:firstLine="420" w:firstLineChars="200"/>
        <w:jc w:val="left"/>
        <w:rPr>
          <w:szCs w:val="21"/>
        </w:rPr>
      </w:pPr>
      <w:r>
        <w:rPr>
          <w:rFonts w:hint="eastAsia" w:ascii="宋体" w:hAnsi="宋体" w:cs="宋体"/>
          <w:szCs w:val="21"/>
        </w:rPr>
        <w:t>①</w:t>
      </w:r>
      <w:r>
        <w:rPr>
          <w:szCs w:val="21"/>
        </w:rPr>
        <w:t>滤料层应从沉淀管（或管堵）底部一定距离到滤水管顶部以上50cm。滤料层超出部分可容许在成井、洗井的过程中有少量的细颗粒土壤进入滤料层。</w:t>
      </w:r>
    </w:p>
    <w:p>
      <w:pPr>
        <w:spacing w:line="420" w:lineRule="exact"/>
        <w:ind w:firstLine="420" w:firstLineChars="200"/>
        <w:jc w:val="left"/>
        <w:rPr>
          <w:szCs w:val="21"/>
        </w:rPr>
      </w:pPr>
      <w:r>
        <w:rPr>
          <w:rFonts w:hint="eastAsia" w:ascii="宋体" w:hAnsi="宋体" w:cs="宋体"/>
          <w:szCs w:val="21"/>
        </w:rPr>
        <w:t>②</w:t>
      </w:r>
      <w:r>
        <w:rPr>
          <w:szCs w:val="21"/>
        </w:rPr>
        <w:t>滤料层材料宜选择球度与圆度好、无污染的石英砂，使用前应经过筛选和清洗，避免影响地下水水质。滤料的粒径根据目标含水层土壤的粒度确定，一般以1mm~2mm粒径为宜，具体可参照表3。</w:t>
      </w:r>
    </w:p>
    <w:p>
      <w:pPr>
        <w:spacing w:line="420" w:lineRule="exact"/>
        <w:ind w:firstLine="420" w:firstLineChars="200"/>
        <w:jc w:val="center"/>
        <w:rPr>
          <w:szCs w:val="21"/>
        </w:rPr>
      </w:pPr>
      <w:r>
        <w:rPr>
          <w:szCs w:val="21"/>
        </w:rPr>
        <w:t>表3滤料直径的选择</w:t>
      </w:r>
    </w:p>
    <w:tbl>
      <w:tblPr>
        <w:tblStyle w:val="22"/>
        <w:tblW w:w="5000" w:type="pct"/>
        <w:jc w:val="center"/>
        <w:tblLayout w:type="fixed"/>
        <w:tblCellMar>
          <w:top w:w="0" w:type="dxa"/>
          <w:left w:w="0" w:type="dxa"/>
          <w:bottom w:w="0" w:type="dxa"/>
          <w:right w:w="0" w:type="dxa"/>
        </w:tblCellMar>
      </w:tblPr>
      <w:tblGrid>
        <w:gridCol w:w="3217"/>
        <w:gridCol w:w="1979"/>
        <w:gridCol w:w="2132"/>
        <w:gridCol w:w="1708"/>
      </w:tblGrid>
      <w:tr>
        <w:tblPrEx>
          <w:tblCellMar>
            <w:top w:w="0" w:type="dxa"/>
            <w:left w:w="0" w:type="dxa"/>
            <w:bottom w:w="0" w:type="dxa"/>
            <w:right w:w="0" w:type="dxa"/>
          </w:tblCellMar>
        </w:tblPrEx>
        <w:trPr>
          <w:trHeight w:val="567" w:hRule="atLeast"/>
          <w:jc w:val="center"/>
        </w:trPr>
        <w:tc>
          <w:tcPr>
            <w:tcW w:w="2954" w:type="dxa"/>
            <w:vMerge w:val="restart"/>
            <w:tcBorders>
              <w:top w:val="single" w:color="000000" w:sz="4" w:space="0"/>
              <w:left w:val="single" w:color="000000" w:sz="4" w:space="0"/>
              <w:bottom w:val="single" w:color="000000" w:sz="4" w:space="0"/>
              <w:right w:val="single" w:color="000000" w:sz="4" w:space="0"/>
            </w:tcBorders>
            <w:vAlign w:val="center"/>
          </w:tcPr>
          <w:p>
            <w:pPr>
              <w:spacing w:line="420" w:lineRule="exact"/>
              <w:ind w:firstLine="420" w:firstLineChars="200"/>
              <w:jc w:val="left"/>
              <w:rPr>
                <w:szCs w:val="21"/>
              </w:rPr>
            </w:pPr>
            <w:r>
              <w:rPr>
                <w:szCs w:val="21"/>
              </w:rPr>
              <w:t>含水层类型</w:t>
            </w:r>
          </w:p>
        </w:tc>
        <w:tc>
          <w:tcPr>
            <w:tcW w:w="1817" w:type="dxa"/>
            <w:tcBorders>
              <w:top w:val="single" w:color="000000" w:sz="4" w:space="0"/>
              <w:left w:val="single" w:color="000000" w:sz="4" w:space="0"/>
              <w:bottom w:val="single" w:color="000000" w:sz="4" w:space="0"/>
              <w:right w:val="single" w:color="000000" w:sz="4" w:space="0"/>
            </w:tcBorders>
            <w:vAlign w:val="center"/>
          </w:tcPr>
          <w:p>
            <w:pPr>
              <w:spacing w:line="420" w:lineRule="exact"/>
              <w:ind w:firstLine="420" w:firstLineChars="200"/>
              <w:jc w:val="left"/>
              <w:rPr>
                <w:szCs w:val="21"/>
              </w:rPr>
            </w:pPr>
            <w:r>
              <w:rPr>
                <w:szCs w:val="21"/>
              </w:rPr>
              <w:t>砂土类含水层</w:t>
            </w:r>
          </w:p>
        </w:tc>
        <w:tc>
          <w:tcPr>
            <w:tcW w:w="3525" w:type="dxa"/>
            <w:gridSpan w:val="2"/>
            <w:tcBorders>
              <w:top w:val="single" w:color="000000" w:sz="4" w:space="0"/>
              <w:left w:val="single" w:color="000000" w:sz="4" w:space="0"/>
              <w:bottom w:val="single" w:color="000000" w:sz="4" w:space="0"/>
              <w:right w:val="single" w:color="000000" w:sz="4" w:space="0"/>
            </w:tcBorders>
            <w:vAlign w:val="center"/>
          </w:tcPr>
          <w:p>
            <w:pPr>
              <w:spacing w:line="420" w:lineRule="exact"/>
              <w:ind w:firstLine="420" w:firstLineChars="200"/>
              <w:jc w:val="left"/>
              <w:rPr>
                <w:szCs w:val="21"/>
              </w:rPr>
            </w:pPr>
            <w:r>
              <w:rPr>
                <w:szCs w:val="21"/>
              </w:rPr>
              <w:t>碎石土类含水层</w:t>
            </w:r>
          </w:p>
        </w:tc>
      </w:tr>
      <w:tr>
        <w:tblPrEx>
          <w:tblCellMar>
            <w:top w:w="0" w:type="dxa"/>
            <w:left w:w="0" w:type="dxa"/>
            <w:bottom w:w="0" w:type="dxa"/>
            <w:right w:w="0" w:type="dxa"/>
          </w:tblCellMar>
        </w:tblPrEx>
        <w:trPr>
          <w:trHeight w:val="567" w:hRule="atLeast"/>
          <w:jc w:val="center"/>
        </w:trPr>
        <w:tc>
          <w:tcPr>
            <w:tcW w:w="2954" w:type="dxa"/>
            <w:vMerge w:val="continue"/>
            <w:tcBorders>
              <w:top w:val="single" w:color="000000" w:sz="4" w:space="0"/>
              <w:left w:val="single" w:color="000000" w:sz="4" w:space="0"/>
              <w:bottom w:val="single" w:color="000000" w:sz="4" w:space="0"/>
              <w:right w:val="single" w:color="000000" w:sz="4" w:space="0"/>
            </w:tcBorders>
            <w:vAlign w:val="center"/>
          </w:tcPr>
          <w:p>
            <w:pPr>
              <w:spacing w:line="420" w:lineRule="exact"/>
              <w:ind w:firstLine="420" w:firstLineChars="200"/>
              <w:jc w:val="left"/>
              <w:rPr>
                <w:szCs w:val="21"/>
              </w:rPr>
            </w:pPr>
          </w:p>
        </w:tc>
        <w:tc>
          <w:tcPr>
            <w:tcW w:w="1817" w:type="dxa"/>
            <w:tcBorders>
              <w:top w:val="single" w:color="000000" w:sz="4" w:space="0"/>
              <w:left w:val="single" w:color="000000" w:sz="4" w:space="0"/>
              <w:bottom w:val="single" w:color="000000" w:sz="4" w:space="0"/>
              <w:right w:val="single" w:color="000000" w:sz="4" w:space="0"/>
            </w:tcBorders>
            <w:vAlign w:val="center"/>
          </w:tcPr>
          <w:p>
            <w:pPr>
              <w:spacing w:line="420" w:lineRule="exact"/>
              <w:ind w:firstLine="420" w:firstLineChars="200"/>
              <w:jc w:val="left"/>
              <w:rPr>
                <w:szCs w:val="21"/>
              </w:rPr>
            </w:pPr>
            <w:r>
              <w:rPr>
                <w:szCs w:val="21"/>
              </w:rPr>
              <w:t>η1&lt;10</w:t>
            </w:r>
          </w:p>
        </w:tc>
        <w:tc>
          <w:tcPr>
            <w:tcW w:w="1957" w:type="dxa"/>
            <w:tcBorders>
              <w:top w:val="single" w:color="000000" w:sz="4" w:space="0"/>
              <w:left w:val="single" w:color="000000" w:sz="4" w:space="0"/>
              <w:bottom w:val="single" w:color="000000" w:sz="4" w:space="0"/>
              <w:right w:val="single" w:color="000000" w:sz="4" w:space="0"/>
            </w:tcBorders>
            <w:vAlign w:val="center"/>
          </w:tcPr>
          <w:p>
            <w:pPr>
              <w:spacing w:line="420" w:lineRule="exact"/>
              <w:ind w:firstLine="420" w:firstLineChars="200"/>
              <w:jc w:val="left"/>
              <w:rPr>
                <w:szCs w:val="21"/>
              </w:rPr>
            </w:pPr>
            <w:r>
              <w:rPr>
                <w:szCs w:val="21"/>
              </w:rPr>
              <w:t>d20&lt;2mm</w:t>
            </w:r>
          </w:p>
        </w:tc>
        <w:tc>
          <w:tcPr>
            <w:tcW w:w="1568" w:type="dxa"/>
            <w:tcBorders>
              <w:top w:val="single" w:color="000000" w:sz="4" w:space="0"/>
              <w:left w:val="single" w:color="000000" w:sz="4" w:space="0"/>
              <w:bottom w:val="single" w:color="000000" w:sz="4" w:space="0"/>
              <w:right w:val="single" w:color="000000" w:sz="4" w:space="0"/>
            </w:tcBorders>
            <w:vAlign w:val="center"/>
          </w:tcPr>
          <w:p>
            <w:pPr>
              <w:spacing w:line="420" w:lineRule="exact"/>
              <w:ind w:firstLine="420" w:firstLineChars="200"/>
              <w:jc w:val="left"/>
              <w:rPr>
                <w:szCs w:val="21"/>
              </w:rPr>
            </w:pPr>
            <w:r>
              <w:rPr>
                <w:szCs w:val="21"/>
              </w:rPr>
              <w:t>d20≥2mm</w:t>
            </w:r>
          </w:p>
        </w:tc>
      </w:tr>
      <w:tr>
        <w:tblPrEx>
          <w:tblCellMar>
            <w:top w:w="0" w:type="dxa"/>
            <w:left w:w="0" w:type="dxa"/>
            <w:bottom w:w="0" w:type="dxa"/>
            <w:right w:w="0" w:type="dxa"/>
          </w:tblCellMar>
        </w:tblPrEx>
        <w:trPr>
          <w:trHeight w:val="511" w:hRule="atLeast"/>
          <w:jc w:val="center"/>
        </w:trPr>
        <w:tc>
          <w:tcPr>
            <w:tcW w:w="2954" w:type="dxa"/>
            <w:tcBorders>
              <w:top w:val="single" w:color="000000" w:sz="4" w:space="0"/>
              <w:left w:val="single" w:color="000000" w:sz="4" w:space="0"/>
              <w:bottom w:val="single" w:color="000000" w:sz="4" w:space="0"/>
              <w:right w:val="single" w:color="000000" w:sz="4" w:space="0"/>
            </w:tcBorders>
            <w:vAlign w:val="center"/>
          </w:tcPr>
          <w:p>
            <w:pPr>
              <w:spacing w:line="420" w:lineRule="exact"/>
              <w:ind w:firstLine="420" w:firstLineChars="200"/>
              <w:jc w:val="left"/>
              <w:rPr>
                <w:szCs w:val="21"/>
              </w:rPr>
            </w:pPr>
            <w:r>
              <w:rPr>
                <w:szCs w:val="21"/>
              </w:rPr>
              <w:t>滤料的尺寸（D）</w:t>
            </w:r>
          </w:p>
        </w:tc>
        <w:tc>
          <w:tcPr>
            <w:tcW w:w="1817" w:type="dxa"/>
            <w:tcBorders>
              <w:top w:val="single" w:color="000000" w:sz="4" w:space="0"/>
              <w:left w:val="single" w:color="000000" w:sz="4" w:space="0"/>
              <w:bottom w:val="single" w:color="000000" w:sz="4" w:space="0"/>
              <w:right w:val="single" w:color="000000" w:sz="4" w:space="0"/>
            </w:tcBorders>
            <w:vAlign w:val="center"/>
          </w:tcPr>
          <w:p>
            <w:pPr>
              <w:spacing w:line="420" w:lineRule="exact"/>
              <w:ind w:firstLine="420" w:firstLineChars="200"/>
              <w:jc w:val="left"/>
              <w:rPr>
                <w:szCs w:val="21"/>
              </w:rPr>
            </w:pPr>
            <w:r>
              <w:rPr>
                <w:szCs w:val="21"/>
              </w:rPr>
              <w:t>D50=（6~8）d50mm</w:t>
            </w:r>
          </w:p>
        </w:tc>
        <w:tc>
          <w:tcPr>
            <w:tcW w:w="1957" w:type="dxa"/>
            <w:tcBorders>
              <w:top w:val="single" w:color="000000" w:sz="4" w:space="0"/>
              <w:left w:val="single" w:color="000000" w:sz="4" w:space="0"/>
              <w:bottom w:val="single" w:color="000000" w:sz="4" w:space="0"/>
              <w:right w:val="single" w:color="000000" w:sz="4" w:space="0"/>
            </w:tcBorders>
            <w:vAlign w:val="center"/>
          </w:tcPr>
          <w:p>
            <w:pPr>
              <w:spacing w:line="420" w:lineRule="exact"/>
              <w:ind w:firstLine="420" w:firstLineChars="200"/>
              <w:jc w:val="left"/>
              <w:rPr>
                <w:szCs w:val="21"/>
              </w:rPr>
            </w:pPr>
            <w:r>
              <w:rPr>
                <w:szCs w:val="21"/>
              </w:rPr>
              <w:t>D50=（6~8）d20mm</w:t>
            </w:r>
          </w:p>
        </w:tc>
        <w:tc>
          <w:tcPr>
            <w:tcW w:w="1568" w:type="dxa"/>
            <w:tcBorders>
              <w:top w:val="single" w:color="000000" w:sz="4" w:space="0"/>
              <w:left w:val="single" w:color="000000" w:sz="4" w:space="0"/>
              <w:bottom w:val="single" w:color="000000" w:sz="4" w:space="0"/>
              <w:right w:val="single" w:color="000000" w:sz="4" w:space="0"/>
            </w:tcBorders>
            <w:vAlign w:val="center"/>
          </w:tcPr>
          <w:p>
            <w:pPr>
              <w:spacing w:line="420" w:lineRule="exact"/>
              <w:ind w:firstLine="420" w:firstLineChars="200"/>
              <w:jc w:val="left"/>
              <w:rPr>
                <w:szCs w:val="21"/>
              </w:rPr>
            </w:pPr>
            <w:r>
              <w:rPr>
                <w:szCs w:val="21"/>
              </w:rPr>
              <w:t>D=10~20mm</w:t>
            </w:r>
          </w:p>
        </w:tc>
      </w:tr>
      <w:tr>
        <w:tblPrEx>
          <w:tblCellMar>
            <w:top w:w="0" w:type="dxa"/>
            <w:left w:w="0" w:type="dxa"/>
            <w:bottom w:w="0" w:type="dxa"/>
            <w:right w:w="0" w:type="dxa"/>
          </w:tblCellMar>
        </w:tblPrEx>
        <w:trPr>
          <w:trHeight w:val="567" w:hRule="atLeast"/>
          <w:jc w:val="center"/>
        </w:trPr>
        <w:tc>
          <w:tcPr>
            <w:tcW w:w="2954" w:type="dxa"/>
            <w:tcBorders>
              <w:top w:val="single" w:color="000000" w:sz="4" w:space="0"/>
              <w:left w:val="single" w:color="000000" w:sz="4" w:space="0"/>
              <w:bottom w:val="single" w:color="000000" w:sz="4" w:space="0"/>
              <w:right w:val="single" w:color="000000" w:sz="4" w:space="0"/>
            </w:tcBorders>
            <w:vAlign w:val="center"/>
          </w:tcPr>
          <w:p>
            <w:pPr>
              <w:spacing w:line="420" w:lineRule="exact"/>
              <w:ind w:firstLine="420" w:firstLineChars="200"/>
              <w:jc w:val="left"/>
              <w:rPr>
                <w:szCs w:val="21"/>
              </w:rPr>
            </w:pPr>
            <w:r>
              <w:rPr>
                <w:szCs w:val="21"/>
              </w:rPr>
              <w:t>滤料的η2要求</w:t>
            </w:r>
          </w:p>
        </w:tc>
        <w:tc>
          <w:tcPr>
            <w:tcW w:w="5342" w:type="dxa"/>
            <w:gridSpan w:val="3"/>
            <w:tcBorders>
              <w:top w:val="single" w:color="000000" w:sz="4" w:space="0"/>
              <w:left w:val="single" w:color="000000" w:sz="4" w:space="0"/>
              <w:bottom w:val="single" w:color="000000" w:sz="4" w:space="0"/>
              <w:right w:val="single" w:color="000000" w:sz="4" w:space="0"/>
            </w:tcBorders>
            <w:vAlign w:val="center"/>
          </w:tcPr>
          <w:p>
            <w:pPr>
              <w:spacing w:line="420" w:lineRule="exact"/>
              <w:ind w:firstLine="420" w:firstLineChars="200"/>
              <w:jc w:val="left"/>
              <w:rPr>
                <w:szCs w:val="21"/>
              </w:rPr>
            </w:pPr>
            <w:r>
              <w:rPr>
                <w:szCs w:val="21"/>
              </w:rPr>
              <w:t>η2&lt;10</w:t>
            </w:r>
          </w:p>
        </w:tc>
      </w:tr>
      <w:tr>
        <w:tblPrEx>
          <w:tblCellMar>
            <w:top w:w="0" w:type="dxa"/>
            <w:left w:w="0" w:type="dxa"/>
            <w:bottom w:w="0" w:type="dxa"/>
            <w:right w:w="0" w:type="dxa"/>
          </w:tblCellMar>
        </w:tblPrEx>
        <w:trPr>
          <w:trHeight w:val="567" w:hRule="atLeast"/>
          <w:jc w:val="center"/>
        </w:trPr>
        <w:tc>
          <w:tcPr>
            <w:tcW w:w="8296" w:type="dxa"/>
            <w:gridSpan w:val="4"/>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szCs w:val="21"/>
              </w:rPr>
            </w:pPr>
            <w:r>
              <w:rPr>
                <w:szCs w:val="21"/>
              </w:rPr>
              <w:t>注：</w:t>
            </w:r>
          </w:p>
          <w:p>
            <w:pPr>
              <w:spacing w:line="420" w:lineRule="exact"/>
              <w:jc w:val="left"/>
              <w:rPr>
                <w:szCs w:val="21"/>
              </w:rPr>
            </w:pPr>
            <w:r>
              <w:rPr>
                <w:rFonts w:hint="eastAsia" w:ascii="宋体" w:hAnsi="宋体" w:cs="宋体"/>
                <w:szCs w:val="21"/>
              </w:rPr>
              <w:t>①</w:t>
            </w:r>
            <w:r>
              <w:rPr>
                <w:szCs w:val="21"/>
              </w:rPr>
              <w:t>表中η1和η2分别为含水层和滤料的不均匀系数。即η1=d60/d10；η2=D60/D10。</w:t>
            </w:r>
          </w:p>
          <w:p>
            <w:pPr>
              <w:spacing w:line="420" w:lineRule="exact"/>
              <w:jc w:val="left"/>
              <w:rPr>
                <w:szCs w:val="21"/>
              </w:rPr>
            </w:pPr>
            <w:r>
              <w:rPr>
                <w:rFonts w:hint="eastAsia" w:ascii="宋体" w:hAnsi="宋体" w:cs="宋体"/>
                <w:szCs w:val="21"/>
              </w:rPr>
              <w:t>②</w:t>
            </w:r>
            <w:r>
              <w:rPr>
                <w:szCs w:val="21"/>
              </w:rPr>
              <w:t>d10,d20,d50,d60和D10,D50,D60分别为含水层试样和滤料试样在筛分时能通过筛眼的颗粒累</w:t>
            </w:r>
          </w:p>
          <w:p>
            <w:pPr>
              <w:spacing w:line="420" w:lineRule="exact"/>
              <w:jc w:val="left"/>
              <w:rPr>
                <w:szCs w:val="21"/>
              </w:rPr>
            </w:pPr>
            <w:r>
              <w:rPr>
                <w:szCs w:val="21"/>
              </w:rPr>
              <w:t>计重量占筛样全重依次为10%,20%,50%,60%时的筛眼直径。</w:t>
            </w:r>
          </w:p>
        </w:tc>
      </w:tr>
    </w:tbl>
    <w:p>
      <w:pPr>
        <w:spacing w:line="420" w:lineRule="exact"/>
        <w:ind w:firstLine="420" w:firstLineChars="200"/>
        <w:jc w:val="left"/>
        <w:rPr>
          <w:szCs w:val="21"/>
        </w:rPr>
      </w:pPr>
      <w:r>
        <w:rPr>
          <w:rFonts w:hint="eastAsia" w:ascii="宋体" w:hAnsi="宋体" w:cs="宋体"/>
          <w:szCs w:val="21"/>
        </w:rPr>
        <w:t>③</w:t>
      </w:r>
      <w:r>
        <w:rPr>
          <w:szCs w:val="21"/>
        </w:rPr>
        <w:t>止水层主要用于防止滤料层以上的外来水通过滤料层进入井内。止水部位应根据钻孔含水层的分布情况确定，一般选择在隔水层或弱透水层处。</w:t>
      </w:r>
    </w:p>
    <w:p>
      <w:pPr>
        <w:spacing w:line="420" w:lineRule="exact"/>
        <w:ind w:firstLine="420" w:firstLineChars="200"/>
        <w:jc w:val="left"/>
        <w:rPr>
          <w:szCs w:val="21"/>
        </w:rPr>
      </w:pPr>
      <w:r>
        <w:rPr>
          <w:szCs w:val="21"/>
        </w:rPr>
        <w:t>止水层的填充高度应达到滤料层以上50cm。为了保证止水效果，建议选用直径20mm~40mm球状膨润土分两段进行填充，第一段从滤料层往上填充不小于30cm的干膨润土，然后采用加水膨润土或膨润土浆继续填充至距离地面50cm处。</w:t>
      </w:r>
    </w:p>
    <w:p>
      <w:pPr>
        <w:spacing w:line="420" w:lineRule="exact"/>
        <w:ind w:firstLine="420" w:firstLineChars="200"/>
        <w:jc w:val="left"/>
        <w:rPr>
          <w:szCs w:val="21"/>
        </w:rPr>
      </w:pPr>
      <w:r>
        <w:rPr>
          <w:rFonts w:hint="eastAsia" w:ascii="宋体" w:hAnsi="宋体" w:cs="宋体"/>
          <w:szCs w:val="21"/>
        </w:rPr>
        <w:t>④</w:t>
      </w:r>
      <w:r>
        <w:rPr>
          <w:szCs w:val="21"/>
        </w:rPr>
        <w:t>回填层位于止水层之上至采样井顶部，宜根据场地条件选择合适的回填材料。优先选用膨润土作为回填材料，当地下水含有可能导致膨润土水化不良的成分时，宜选择混凝土浆作为回填材料。使用混凝土浆作为回填材料时，为延缓固化时间，可在混凝土浆中添加5%~10%的膨润土。</w:t>
      </w:r>
    </w:p>
    <w:p>
      <w:pPr>
        <w:spacing w:line="420" w:lineRule="exact"/>
        <w:ind w:firstLine="422" w:firstLineChars="200"/>
        <w:jc w:val="left"/>
        <w:rPr>
          <w:b/>
          <w:bCs/>
          <w:szCs w:val="21"/>
        </w:rPr>
      </w:pPr>
      <w:r>
        <w:rPr>
          <w:b/>
          <w:bCs/>
          <w:szCs w:val="21"/>
        </w:rPr>
        <w:t>（三）地下水采样井建设要求</w:t>
      </w:r>
    </w:p>
    <w:p>
      <w:pPr>
        <w:spacing w:line="420" w:lineRule="exact"/>
        <w:ind w:firstLine="420" w:firstLineChars="200"/>
        <w:jc w:val="left"/>
        <w:rPr>
          <w:szCs w:val="21"/>
        </w:rPr>
      </w:pPr>
      <w:r>
        <w:rPr>
          <w:szCs w:val="21"/>
        </w:rPr>
        <w:t>采样井建设过程包括钻孔、下管、填充滤料、密封止水、成井洗井、封井等步骤，具体要求如下：</w:t>
      </w:r>
    </w:p>
    <w:p>
      <w:pPr>
        <w:spacing w:line="420" w:lineRule="exact"/>
        <w:ind w:firstLine="420" w:firstLineChars="200"/>
        <w:jc w:val="left"/>
        <w:rPr>
          <w:szCs w:val="21"/>
        </w:rPr>
      </w:pPr>
      <w:r>
        <w:rPr>
          <w:szCs w:val="21"/>
        </w:rPr>
        <w:t>1、钻孔直径应至少大于井管直径50mm。钻孔达到设定深度后进行钻孔掏洗，以清除钻孔中的泥浆和钻屑，然后静置2h~3h并记录静止水位。</w:t>
      </w:r>
    </w:p>
    <w:p>
      <w:pPr>
        <w:spacing w:line="420" w:lineRule="exact"/>
        <w:ind w:firstLine="420" w:firstLineChars="200"/>
        <w:jc w:val="left"/>
        <w:rPr>
          <w:szCs w:val="21"/>
        </w:rPr>
      </w:pPr>
      <w:r>
        <w:rPr>
          <w:szCs w:val="21"/>
        </w:rPr>
        <w:t>2、下管前应校正孔深，按先后次序将井管逐根丈量、排列、编号、试扣，确保下管深度和滤水管安装位置准确无误。井管下放速度不宜太快，中途遇阻时可适当上下提动和转动井管，必要时应将井管提出，清除孔内障碍后再下管。下管完成后，将其扶正、固定，井管应与钻孔轴心重合。</w:t>
      </w:r>
    </w:p>
    <w:p>
      <w:pPr>
        <w:spacing w:line="420" w:lineRule="exact"/>
        <w:ind w:firstLine="420" w:firstLineChars="200"/>
        <w:jc w:val="left"/>
        <w:rPr>
          <w:szCs w:val="21"/>
        </w:rPr>
      </w:pPr>
      <w:r>
        <w:rPr>
          <w:szCs w:val="21"/>
        </w:rPr>
        <w:t>3、使用导砂管将滤料缓慢填充至管壁与孔壁中的环形空隙内，应沿着井管四周均匀填充，避免从单一方位填入，一边填充一边晃动井管，防止滤料填充时形成架桥或卡锁现象。滤料填充过程应进行测量，确保滤料填充至设计高度。</w:t>
      </w:r>
    </w:p>
    <w:p>
      <w:pPr>
        <w:spacing w:line="420" w:lineRule="exact"/>
        <w:ind w:firstLine="420" w:firstLineChars="200"/>
        <w:jc w:val="left"/>
        <w:rPr>
          <w:szCs w:val="21"/>
        </w:rPr>
      </w:pPr>
      <w:r>
        <w:rPr>
          <w:szCs w:val="21"/>
        </w:rPr>
        <w:t>4、密封止水应从滤料层往上填充，直至距离地面50cm。若采用膨润土球作为止水材料，每填充10cm需向钻孔中均匀注入少量的清洁水，填充过程中应进行测量，确保止水材料填充至设计高度，静置待膨润土充分膨胀、水化和凝结（具体根据膨润土供应厂商建议时间调整）,然后回填混凝土浆层。</w:t>
      </w:r>
    </w:p>
    <w:p>
      <w:pPr>
        <w:spacing w:line="420" w:lineRule="exact"/>
        <w:ind w:firstLine="420" w:firstLineChars="200"/>
        <w:jc w:val="left"/>
        <w:rPr>
          <w:szCs w:val="21"/>
        </w:rPr>
      </w:pPr>
      <w:r>
        <w:rPr>
          <w:szCs w:val="21"/>
        </w:rPr>
        <w:t>5、地下水采样井建成至少24h后（待井内的填料得到充分养护、稳定后）才能进行洗井。</w:t>
      </w:r>
    </w:p>
    <w:p>
      <w:pPr>
        <w:spacing w:line="420" w:lineRule="exact"/>
        <w:ind w:firstLine="420" w:firstLineChars="200"/>
        <w:jc w:val="left"/>
        <w:rPr>
          <w:szCs w:val="21"/>
        </w:rPr>
      </w:pPr>
      <w:r>
        <w:rPr>
          <w:szCs w:val="21"/>
        </w:rPr>
        <w:t>洗井时一般控制流速不超过3.8L/min，成井洗井达标直观判断水质基本上达到水清砂净（即基本透明无色、无沉砂），洗井抽出水量不小于井内水体积的3倍。同时监测pH值、电导率、浊度、水温等参数值达到稳定（连续三次监测数值浮动在±10%以内），或浊度小于50NTU，。避免使用大流量抽水或高气压气提的洗井设备,以免损坏滤水管和滤料层。</w:t>
      </w:r>
    </w:p>
    <w:p>
      <w:pPr>
        <w:spacing w:line="420" w:lineRule="exact"/>
        <w:ind w:firstLine="420" w:firstLineChars="200"/>
        <w:jc w:val="left"/>
        <w:rPr>
          <w:szCs w:val="21"/>
        </w:rPr>
      </w:pPr>
      <w:r>
        <w:rPr>
          <w:szCs w:val="21"/>
        </w:rPr>
        <w:t>洗井过程要防止交叉污染，贝勒管洗井时应一井一管，气囊泵、潜水泵在洗井前要清洗泵体和管线，清洗废水要收集处置。</w:t>
      </w:r>
    </w:p>
    <w:p>
      <w:pPr>
        <w:spacing w:line="420" w:lineRule="exact"/>
        <w:ind w:firstLine="420" w:firstLineChars="200"/>
        <w:jc w:val="left"/>
        <w:rPr>
          <w:szCs w:val="21"/>
        </w:rPr>
      </w:pPr>
      <w:r>
        <w:rPr>
          <w:szCs w:val="21"/>
        </w:rPr>
        <w:t>7、成井后测量记录点位坐标及管口高程，填写成井记录单、地下水采样井洗井记录单；成井过程中对井管处理（滤水管钻孔或割缝、包网处理、井管连接等））、滤料填充和止水材料、洗井作业和洗井合格出水、井台构筑（含井牌）等关键环节或信息应拍照记录，每个环节不少于1张照片，以备质量控制。</w:t>
      </w:r>
    </w:p>
    <w:p>
      <w:pPr>
        <w:spacing w:line="420" w:lineRule="exact"/>
        <w:ind w:firstLine="420" w:firstLineChars="200"/>
        <w:jc w:val="left"/>
        <w:rPr>
          <w:szCs w:val="21"/>
        </w:rPr>
      </w:pPr>
      <w:r>
        <w:rPr>
          <w:szCs w:val="21"/>
        </w:rPr>
        <w:t>8、封井采样完成后，非长期监测的采样井应进行封井。封井应从井底至地面下50cm全部用直径为20mm~40mm的优质无污染的膨润土球封堵。</w:t>
      </w:r>
    </w:p>
    <w:p>
      <w:pPr>
        <w:spacing w:line="420" w:lineRule="exact"/>
        <w:ind w:firstLine="420" w:firstLineChars="200"/>
        <w:jc w:val="left"/>
        <w:rPr>
          <w:szCs w:val="21"/>
        </w:rPr>
      </w:pPr>
      <w:r>
        <w:rPr>
          <w:szCs w:val="21"/>
        </w:rPr>
        <w:t>膨润土球一般采用提拉式填充，将直径小于井内径的硬质细管提前下入井中（根据现场情况尽量选择小直径细管），向细管与井壁的环形空间填充一定量的膨润土球，然后缓慢向上提管，反复抽提防止井下搭桥，确保膨润土球全部落入井中，再进行下一批次膨润土球的填充。</w:t>
      </w:r>
    </w:p>
    <w:p>
      <w:pPr>
        <w:spacing w:line="420" w:lineRule="exact"/>
        <w:ind w:firstLine="420" w:firstLineChars="200"/>
        <w:jc w:val="left"/>
        <w:rPr>
          <w:szCs w:val="21"/>
        </w:rPr>
      </w:pPr>
      <w:r>
        <w:rPr>
          <w:szCs w:val="21"/>
        </w:rPr>
        <w:t>全部膨润土球填充完成后应静置24h，测量膨润土填充高度，判断是否达到预定封井高度，并于7天后再次检查封井情况，如发现塌陷应立即补填，直至符合规定要求。</w:t>
      </w:r>
    </w:p>
    <w:p>
      <w:pPr>
        <w:spacing w:line="420" w:lineRule="exact"/>
        <w:ind w:firstLine="420" w:firstLineChars="200"/>
        <w:jc w:val="left"/>
        <w:rPr>
          <w:szCs w:val="21"/>
        </w:rPr>
      </w:pPr>
      <w:r>
        <w:rPr>
          <w:szCs w:val="21"/>
        </w:rPr>
        <w:t>将井管高于地面部分进行切割，按照膨润土球填充的操作规程，从膨润土封层向上至地面注入混凝土浆进行封固。</w:t>
      </w:r>
    </w:p>
    <w:p>
      <w:pPr>
        <w:spacing w:line="420" w:lineRule="exact"/>
        <w:ind w:firstLine="422" w:firstLineChars="200"/>
        <w:jc w:val="left"/>
        <w:rPr>
          <w:b/>
          <w:bCs/>
          <w:szCs w:val="21"/>
        </w:rPr>
      </w:pPr>
      <w:r>
        <w:rPr>
          <w:b/>
          <w:bCs/>
          <w:szCs w:val="21"/>
        </w:rPr>
        <w:t>（四）二次污染防治要求</w:t>
      </w:r>
    </w:p>
    <w:p>
      <w:pPr>
        <w:spacing w:line="420" w:lineRule="exact"/>
        <w:ind w:firstLine="420" w:firstLineChars="200"/>
        <w:jc w:val="left"/>
        <w:rPr>
          <w:szCs w:val="21"/>
        </w:rPr>
      </w:pPr>
      <w:r>
        <w:rPr>
          <w:szCs w:val="21"/>
        </w:rPr>
        <w:t>1、钻探及建井产生的废土、泥浆和洗井废水应统一收集并合法合规处理，不得随意丢弃；对废弃的一次性手套、口罩等个人防护用品应按照法律法规要求进行收集处置。采样过程中产生的类似措施费均由钻探单位自行承担。</w:t>
      </w:r>
    </w:p>
    <w:p>
      <w:pPr>
        <w:spacing w:line="420" w:lineRule="exact"/>
        <w:ind w:firstLine="420" w:firstLineChars="200"/>
        <w:jc w:val="left"/>
        <w:rPr>
          <w:szCs w:val="21"/>
        </w:rPr>
      </w:pPr>
      <w:r>
        <w:rPr>
          <w:szCs w:val="21"/>
        </w:rPr>
        <w:t>2、产生泥浆的点位，需铺设防雨布等防护材料，禁止泥浆随意流淌，禁止污染草地和路面；</w:t>
      </w:r>
    </w:p>
    <w:p>
      <w:pPr>
        <w:spacing w:line="420" w:lineRule="exact"/>
        <w:ind w:firstLine="420" w:firstLineChars="200"/>
        <w:jc w:val="left"/>
        <w:rPr>
          <w:szCs w:val="21"/>
        </w:rPr>
      </w:pPr>
      <w:r>
        <w:rPr>
          <w:szCs w:val="21"/>
        </w:rPr>
        <w:t>3、施工单位负责施工现场清洁工作，建设的每口井周边铺设彩条布，收集废土。泥土等严禁携带到路面，建井单位负责清扫处置，并提供相关的台账记录和图/视频证明。</w:t>
      </w:r>
    </w:p>
    <w:p>
      <w:pPr>
        <w:spacing w:line="420" w:lineRule="exact"/>
        <w:ind w:firstLine="422" w:firstLineChars="200"/>
        <w:jc w:val="left"/>
        <w:rPr>
          <w:b/>
          <w:bCs/>
          <w:szCs w:val="21"/>
        </w:rPr>
      </w:pPr>
      <w:r>
        <w:rPr>
          <w:b/>
          <w:bCs/>
          <w:szCs w:val="21"/>
        </w:rPr>
        <w:t>（五）其他技术要求</w:t>
      </w:r>
    </w:p>
    <w:p>
      <w:pPr>
        <w:spacing w:line="420" w:lineRule="exact"/>
        <w:ind w:firstLine="420" w:firstLineChars="200"/>
        <w:jc w:val="left"/>
        <w:rPr>
          <w:szCs w:val="21"/>
        </w:rPr>
      </w:pPr>
      <w:r>
        <w:rPr>
          <w:szCs w:val="21"/>
        </w:rPr>
        <w:t>1、中标人现场需安排1名专门项目经理，负责与我单位现场负责人员对接，由项目经理每日上报当天建井工作量；现场钻探过程中有出现点位编号位置更改等情况，修改内容当日形成书面内容上报，并统一整理成专项记录以备查。</w:t>
      </w:r>
    </w:p>
    <w:p>
      <w:pPr>
        <w:spacing w:line="420" w:lineRule="exact"/>
        <w:ind w:firstLine="420" w:firstLineChars="200"/>
        <w:jc w:val="left"/>
        <w:rPr>
          <w:szCs w:val="21"/>
        </w:rPr>
      </w:pPr>
      <w:r>
        <w:rPr>
          <w:szCs w:val="21"/>
        </w:rPr>
        <w:t>2、现场工作需满足本项目监理及审计工作要求，提交建井记录单、洗井记录单、建井验收记录表等一系列材料；</w:t>
      </w:r>
    </w:p>
    <w:p>
      <w:pPr>
        <w:spacing w:line="420" w:lineRule="exact"/>
        <w:ind w:firstLine="420" w:firstLineChars="200"/>
        <w:jc w:val="left"/>
        <w:rPr>
          <w:szCs w:val="21"/>
        </w:rPr>
      </w:pPr>
      <w:r>
        <w:rPr>
          <w:szCs w:val="21"/>
        </w:rPr>
        <w:t>3、现场工作必须按照最新的国家及地方相关法律法规开展，包括但不限于《建设用地土壤污染状况调查质量控制技术规定（试行）》、《建设用地土壤污染状况初步调查监督检查工作指南（试行）》等相关规定。</w:t>
      </w:r>
    </w:p>
    <w:p>
      <w:pPr>
        <w:spacing w:line="420" w:lineRule="exact"/>
        <w:ind w:firstLine="420" w:firstLineChars="200"/>
        <w:jc w:val="left"/>
        <w:rPr>
          <w:szCs w:val="21"/>
        </w:rPr>
      </w:pPr>
      <w:r>
        <w:rPr>
          <w:szCs w:val="21"/>
        </w:rPr>
        <w:t>4、招标人协助供应商对接确认建井点位地下管线情况，但不最终确认，若施工过程造成管线破损，造成的损失由供应商负责；</w:t>
      </w:r>
    </w:p>
    <w:p>
      <w:pPr>
        <w:spacing w:line="420" w:lineRule="exact"/>
        <w:ind w:firstLine="420" w:firstLineChars="200"/>
        <w:jc w:val="left"/>
        <w:rPr>
          <w:szCs w:val="21"/>
        </w:rPr>
      </w:pPr>
      <w:r>
        <w:rPr>
          <w:szCs w:val="21"/>
        </w:rPr>
        <w:t>5、应按国家相关安全操作规定进行作业，供应商在现场作业施工过程中由于供应商的过错或责任造成对招标人、第三方或者自身损害的，产生的相应责任与后果均由供应商负责。</w:t>
      </w:r>
    </w:p>
    <w:p>
      <w:pPr>
        <w:spacing w:line="420" w:lineRule="exact"/>
        <w:ind w:firstLine="420" w:firstLineChars="200"/>
        <w:jc w:val="left"/>
        <w:rPr>
          <w:szCs w:val="21"/>
        </w:rPr>
      </w:pPr>
      <w:r>
        <w:rPr>
          <w:szCs w:val="21"/>
        </w:rPr>
        <w:t>6、现场施工造成的一切损失，均由供应商负责承担。</w:t>
      </w:r>
    </w:p>
    <w:p>
      <w:pPr>
        <w:spacing w:line="420" w:lineRule="exact"/>
        <w:jc w:val="left"/>
        <w:rPr>
          <w:b/>
          <w:bCs/>
          <w:szCs w:val="21"/>
        </w:rPr>
      </w:pPr>
      <w:r>
        <w:rPr>
          <w:b/>
          <w:bCs/>
          <w:szCs w:val="21"/>
        </w:rPr>
        <w:t xml:space="preserve"> 七、保密要求</w:t>
      </w:r>
    </w:p>
    <w:p>
      <w:pPr>
        <w:spacing w:line="420" w:lineRule="exact"/>
        <w:ind w:firstLine="420" w:firstLineChars="200"/>
        <w:jc w:val="left"/>
        <w:rPr>
          <w:szCs w:val="21"/>
        </w:rPr>
      </w:pPr>
      <w:r>
        <w:rPr>
          <w:szCs w:val="21"/>
        </w:rPr>
        <w:t>（1）成交供应商负责对采购人所提供资料及最终成果保密，成交供应商及其专业技术人员需遵守采购人的保密规定，不以任何形式将收集的所有资料、数据等进行泄漏、传播。</w:t>
      </w:r>
    </w:p>
    <w:p>
      <w:pPr>
        <w:spacing w:line="420" w:lineRule="exact"/>
        <w:ind w:firstLine="420" w:firstLineChars="200"/>
        <w:jc w:val="left"/>
        <w:rPr>
          <w:szCs w:val="21"/>
        </w:rPr>
      </w:pPr>
      <w:r>
        <w:rPr>
          <w:szCs w:val="21"/>
        </w:rPr>
        <w:t>（2）项目服务人员需签署相关保密协议，承担工作中接触相关内容的保密义务。</w:t>
      </w:r>
    </w:p>
    <w:p>
      <w:pPr>
        <w:spacing w:line="420" w:lineRule="exact"/>
        <w:ind w:firstLine="420" w:firstLineChars="200"/>
        <w:jc w:val="left"/>
        <w:rPr>
          <w:szCs w:val="21"/>
        </w:rPr>
      </w:pPr>
      <w:r>
        <w:rPr>
          <w:szCs w:val="21"/>
        </w:rPr>
        <w:t>（3）成交供应商须维护项目服务成果，不得转让给第三方使用。</w:t>
      </w:r>
    </w:p>
    <w:p>
      <w:pPr>
        <w:spacing w:line="420" w:lineRule="exact"/>
        <w:ind w:firstLine="420" w:firstLineChars="200"/>
        <w:jc w:val="left"/>
        <w:rPr>
          <w:szCs w:val="21"/>
        </w:rPr>
      </w:pPr>
      <w:r>
        <w:rPr>
          <w:szCs w:val="21"/>
        </w:rPr>
        <w:t>（4）以上保密规定如有违反，采购人有权追究成交供应商相关法律责任并有权不进行费用结算。</w:t>
      </w:r>
    </w:p>
    <w:p>
      <w:pPr>
        <w:spacing w:line="420" w:lineRule="exact"/>
        <w:jc w:val="left"/>
        <w:rPr>
          <w:b/>
          <w:bCs/>
          <w:szCs w:val="21"/>
        </w:rPr>
      </w:pPr>
      <w:r>
        <w:rPr>
          <w:b/>
          <w:bCs/>
          <w:szCs w:val="21"/>
        </w:rPr>
        <w:t>八、服务期限</w:t>
      </w:r>
    </w:p>
    <w:p>
      <w:pPr>
        <w:spacing w:line="420" w:lineRule="exact"/>
        <w:ind w:firstLine="420" w:firstLineChars="200"/>
        <w:jc w:val="left"/>
        <w:rPr>
          <w:szCs w:val="21"/>
        </w:rPr>
      </w:pPr>
      <w:r>
        <w:rPr>
          <w:szCs w:val="21"/>
        </w:rPr>
        <w:t>（1）服务期限为项目合同签订之日起至项目全部完成，且项目通过专家评审。</w:t>
      </w:r>
    </w:p>
    <w:p>
      <w:pPr>
        <w:spacing w:line="420" w:lineRule="exact"/>
        <w:ind w:firstLine="420" w:firstLineChars="200"/>
        <w:jc w:val="left"/>
        <w:rPr>
          <w:szCs w:val="21"/>
        </w:rPr>
      </w:pPr>
      <w:r>
        <w:rPr>
          <w:szCs w:val="21"/>
        </w:rPr>
        <w:t>（2）中标人应在接到采购方通知后2日内响应进场，钻探过程中中标人须无条件服从招标人时间进度安排。</w:t>
      </w:r>
    </w:p>
    <w:p>
      <w:pPr>
        <w:spacing w:line="420" w:lineRule="exact"/>
        <w:ind w:firstLine="420" w:firstLineChars="200"/>
        <w:jc w:val="left"/>
        <w:rPr>
          <w:szCs w:val="21"/>
        </w:rPr>
      </w:pPr>
      <w:r>
        <w:rPr>
          <w:szCs w:val="21"/>
        </w:rPr>
        <w:t>（3）正式开工后，每个园区至少需配备2台钻机设备及班组同时进场作业，每个班组不少于4人，每批次现场工作结束后3日内提交所有材料电子稿和纸质稿。</w:t>
      </w:r>
    </w:p>
    <w:p>
      <w:pPr>
        <w:spacing w:line="420" w:lineRule="exact"/>
        <w:rPr>
          <w:b/>
          <w:bCs/>
          <w:szCs w:val="21"/>
        </w:rPr>
      </w:pPr>
    </w:p>
    <w:p>
      <w:pPr>
        <w:spacing w:line="420" w:lineRule="exact"/>
        <w:jc w:val="left"/>
        <w:rPr>
          <w:b/>
          <w:bCs/>
          <w:szCs w:val="21"/>
        </w:rPr>
      </w:pPr>
      <w:r>
        <w:rPr>
          <w:b/>
          <w:bCs/>
          <w:szCs w:val="21"/>
        </w:rPr>
        <w:t>九、 付款方式</w:t>
      </w:r>
    </w:p>
    <w:p>
      <w:pPr>
        <w:spacing w:line="420" w:lineRule="exact"/>
        <w:ind w:firstLine="420" w:firstLineChars="200"/>
        <w:jc w:val="left"/>
        <w:rPr>
          <w:szCs w:val="21"/>
        </w:rPr>
      </w:pPr>
      <w:r>
        <w:rPr>
          <w:szCs w:val="21"/>
        </w:rPr>
        <w:t>本项目结算采用固定单价，按实结算。中标人完成现场全部工作，提供全部技术资料（盖章件），项目取得评审意见，招标人确认供应商结算申请且具备结算条件后一次性付清。每次招标人支付前，供应商需开具正式发票。超出报价清单工作范围的工作内容在发生前需与招标人协商签订补充合同，但所有补充合同的采购总金额不超过本合同金额的10%。未签订补充合同的不予结算。</w:t>
      </w:r>
    </w:p>
    <w:p>
      <w:pPr>
        <w:spacing w:line="420" w:lineRule="exact"/>
        <w:rPr>
          <w:b/>
          <w:bCs/>
          <w:szCs w:val="21"/>
        </w:rPr>
      </w:pPr>
      <w:r>
        <w:rPr>
          <w:b/>
          <w:bCs/>
          <w:szCs w:val="21"/>
        </w:rPr>
        <w:t>十、评标办法</w:t>
      </w:r>
    </w:p>
    <w:p>
      <w:pPr>
        <w:spacing w:line="420" w:lineRule="exact"/>
        <w:ind w:firstLine="422" w:firstLineChars="200"/>
        <w:rPr>
          <w:b/>
          <w:bCs/>
          <w:szCs w:val="21"/>
        </w:rPr>
      </w:pPr>
      <w:r>
        <w:rPr>
          <w:b/>
          <w:bCs/>
          <w:szCs w:val="21"/>
        </w:rPr>
        <w:t>本项目为询价项目，采用现场询价，确定中标单位原则：最低价评标法。</w:t>
      </w:r>
    </w:p>
    <w:bookmarkEnd w:id="1"/>
    <w:bookmarkEnd w:id="2"/>
    <w:bookmarkEnd w:id="3"/>
    <w:bookmarkEnd w:id="4"/>
    <w:bookmarkEnd w:id="5"/>
    <w:bookmarkEnd w:id="6"/>
    <w:p>
      <w:pPr>
        <w:spacing w:line="420" w:lineRule="exact"/>
        <w:jc w:val="center"/>
        <w:rPr>
          <w:b/>
          <w:bCs/>
          <w:kern w:val="0"/>
          <w:sz w:val="30"/>
          <w:szCs w:val="30"/>
        </w:rPr>
      </w:pPr>
    </w:p>
    <w:p>
      <w:pPr>
        <w:spacing w:line="420" w:lineRule="exact"/>
        <w:jc w:val="center"/>
        <w:rPr>
          <w:b/>
          <w:bCs/>
          <w:kern w:val="0"/>
          <w:sz w:val="30"/>
          <w:szCs w:val="30"/>
        </w:rPr>
      </w:pPr>
    </w:p>
    <w:p>
      <w:pPr>
        <w:spacing w:line="420" w:lineRule="exact"/>
        <w:jc w:val="center"/>
        <w:rPr>
          <w:b/>
          <w:bCs/>
          <w:kern w:val="0"/>
          <w:sz w:val="30"/>
          <w:szCs w:val="30"/>
        </w:rPr>
      </w:pPr>
    </w:p>
    <w:p>
      <w:pPr>
        <w:spacing w:line="420" w:lineRule="exact"/>
        <w:jc w:val="center"/>
        <w:rPr>
          <w:b/>
          <w:bCs/>
          <w:kern w:val="0"/>
          <w:sz w:val="30"/>
          <w:szCs w:val="30"/>
          <w:highlight w:val="yellow"/>
        </w:rPr>
      </w:pPr>
    </w:p>
    <w:p>
      <w:pPr>
        <w:spacing w:line="420" w:lineRule="exact"/>
        <w:jc w:val="center"/>
        <w:rPr>
          <w:b/>
          <w:bCs/>
          <w:kern w:val="0"/>
          <w:sz w:val="30"/>
          <w:szCs w:val="30"/>
        </w:rPr>
      </w:pPr>
    </w:p>
    <w:p>
      <w:pPr>
        <w:spacing w:line="420" w:lineRule="exact"/>
        <w:jc w:val="center"/>
        <w:rPr>
          <w:b/>
          <w:bCs/>
          <w:kern w:val="0"/>
          <w:sz w:val="30"/>
          <w:szCs w:val="30"/>
        </w:rPr>
      </w:pPr>
    </w:p>
    <w:p>
      <w:pPr>
        <w:spacing w:line="420" w:lineRule="exact"/>
        <w:jc w:val="center"/>
        <w:rPr>
          <w:b/>
          <w:bCs/>
          <w:kern w:val="0"/>
          <w:sz w:val="30"/>
          <w:szCs w:val="30"/>
        </w:rPr>
      </w:pPr>
    </w:p>
    <w:p>
      <w:pPr>
        <w:spacing w:line="420" w:lineRule="exact"/>
        <w:jc w:val="center"/>
        <w:rPr>
          <w:b/>
          <w:bCs/>
          <w:kern w:val="0"/>
          <w:sz w:val="30"/>
          <w:szCs w:val="30"/>
        </w:rPr>
      </w:pPr>
      <w:r>
        <w:rPr>
          <w:b/>
          <w:bCs/>
          <w:kern w:val="0"/>
          <w:sz w:val="30"/>
          <w:szCs w:val="30"/>
        </w:rPr>
        <w:t>合同主要条款</w:t>
      </w:r>
    </w:p>
    <w:p>
      <w:pPr>
        <w:widowControl/>
        <w:snapToGrid w:val="0"/>
        <w:spacing w:line="420" w:lineRule="exact"/>
        <w:ind w:right="-154"/>
        <w:jc w:val="left"/>
        <w:rPr>
          <w:kern w:val="0"/>
          <w:szCs w:val="21"/>
        </w:rPr>
      </w:pPr>
    </w:p>
    <w:p>
      <w:pPr>
        <w:spacing w:line="460" w:lineRule="exact"/>
        <w:rPr>
          <w:b/>
          <w:bCs/>
          <w:szCs w:val="21"/>
        </w:rPr>
      </w:pPr>
      <w:r>
        <w:rPr>
          <w:b/>
          <w:bCs/>
          <w:szCs w:val="21"/>
        </w:rPr>
        <w:t>甲方：常州环保服务有限公司（以下简称“甲方”）</w:t>
      </w:r>
    </w:p>
    <w:p>
      <w:pPr>
        <w:spacing w:line="460" w:lineRule="exact"/>
        <w:rPr>
          <w:b/>
          <w:bCs/>
          <w:szCs w:val="21"/>
        </w:rPr>
      </w:pPr>
      <w:r>
        <w:rPr>
          <w:b/>
          <w:bCs/>
          <w:szCs w:val="21"/>
        </w:rPr>
        <w:t>乙方：                    （以下简称“乙方”）</w:t>
      </w:r>
    </w:p>
    <w:p>
      <w:pPr>
        <w:spacing w:line="460" w:lineRule="exact"/>
        <w:rPr>
          <w:b/>
          <w:bCs/>
          <w:szCs w:val="21"/>
        </w:rPr>
      </w:pPr>
      <w:r>
        <w:rPr>
          <w:b/>
          <w:bCs/>
          <w:szCs w:val="21"/>
        </w:rPr>
        <w:t>代理机构：</w:t>
      </w:r>
    </w:p>
    <w:p>
      <w:pPr>
        <w:pStyle w:val="10"/>
        <w:spacing w:line="460" w:lineRule="exact"/>
        <w:ind w:firstLine="420" w:firstLineChars="200"/>
        <w:rPr>
          <w:rFonts w:ascii="Times New Roman" w:hAnsi="Times New Roman" w:cs="Times New Roman"/>
          <w:bCs/>
        </w:rPr>
      </w:pPr>
      <w:r>
        <w:rPr>
          <w:rFonts w:ascii="Times New Roman" w:hAnsi="Times New Roman" w:cs="Times New Roman"/>
          <w:bCs/>
        </w:rPr>
        <w:t>甲乙双方依据《中华人民共和国民法典》等有关法律规定，遵循平等、自愿、公平和诚实信用的原则，经协商一致，订立</w:t>
      </w:r>
      <w:r>
        <w:rPr>
          <w:rFonts w:hint="eastAsia" w:ascii="Times New Roman" w:hAnsi="Times New Roman" w:cs="Times New Roman"/>
          <w:bCs/>
          <w:lang w:eastAsia="zh-CN"/>
        </w:rPr>
        <w:t>常州市M地块土壤污染状况调查钻探服务项目（二次）</w:t>
      </w:r>
      <w:r>
        <w:rPr>
          <w:rFonts w:ascii="Times New Roman" w:hAnsi="Times New Roman" w:cs="Times New Roman"/>
          <w:bCs/>
        </w:rPr>
        <w:t>合同，以便共同遵守。</w:t>
      </w:r>
    </w:p>
    <w:p>
      <w:pPr>
        <w:pStyle w:val="10"/>
        <w:numPr>
          <w:ilvl w:val="0"/>
          <w:numId w:val="2"/>
        </w:numPr>
        <w:spacing w:line="460" w:lineRule="exact"/>
        <w:ind w:firstLine="420" w:firstLineChars="200"/>
        <w:rPr>
          <w:rFonts w:ascii="Times New Roman" w:hAnsi="Times New Roman" w:cs="Times New Roman"/>
        </w:rPr>
      </w:pPr>
      <w:r>
        <w:rPr>
          <w:rFonts w:ascii="Times New Roman" w:hAnsi="Times New Roman" w:cs="Times New Roman"/>
        </w:rPr>
        <w:t>服务内容、形式和要求：</w:t>
      </w:r>
    </w:p>
    <w:p>
      <w:pPr>
        <w:pStyle w:val="10"/>
        <w:spacing w:line="460" w:lineRule="exact"/>
        <w:ind w:firstLine="420" w:firstLineChars="200"/>
        <w:rPr>
          <w:rFonts w:ascii="Times New Roman" w:hAnsi="Times New Roman" w:cs="Times New Roman"/>
        </w:rPr>
      </w:pPr>
      <w:r>
        <w:rPr>
          <w:rFonts w:ascii="Times New Roman" w:hAnsi="Times New Roman" w:cs="Times New Roman"/>
        </w:rPr>
        <w:t>（一）服务内容：</w:t>
      </w:r>
    </w:p>
    <w:p>
      <w:pPr>
        <w:spacing w:line="460" w:lineRule="exact"/>
        <w:ind w:firstLine="420" w:firstLineChars="200"/>
        <w:rPr>
          <w:bCs/>
          <w:szCs w:val="21"/>
        </w:rPr>
      </w:pPr>
      <w:r>
        <w:rPr>
          <w:bCs/>
          <w:szCs w:val="21"/>
        </w:rPr>
        <w:t>乙方应按照甲方出具的检测清单开展工作，主要包括以下内容：</w:t>
      </w:r>
    </w:p>
    <w:p>
      <w:pPr>
        <w:spacing w:line="460" w:lineRule="exact"/>
        <w:ind w:firstLine="420" w:firstLineChars="200"/>
        <w:jc w:val="left"/>
        <w:rPr>
          <w:szCs w:val="21"/>
        </w:rPr>
      </w:pPr>
      <w:r>
        <w:rPr>
          <w:szCs w:val="21"/>
        </w:rPr>
        <w:t>1、土壤钻探：RTK点位放样140个，直推式土壤钻探取样深度1050m，钻孔要求钻杆外径85mm，内径69mm；取样管外径53mm，内径50mm。</w:t>
      </w:r>
    </w:p>
    <w:p>
      <w:pPr>
        <w:spacing w:line="460" w:lineRule="exact"/>
        <w:ind w:firstLine="420" w:firstLineChars="200"/>
        <w:jc w:val="left"/>
        <w:rPr>
          <w:szCs w:val="21"/>
        </w:rPr>
      </w:pPr>
      <w:r>
        <w:rPr>
          <w:szCs w:val="21"/>
        </w:rPr>
        <w:t>2、地下水监测井建设：RTK点位放样100个，建井总深度约560m钻孔要求成孔口径200mm，UPVC管口径为63mm，壁厚3mm，并满足现场实际施工条件；洗井100个。</w:t>
      </w:r>
    </w:p>
    <w:p>
      <w:pPr>
        <w:spacing w:line="460" w:lineRule="exact"/>
        <w:ind w:firstLine="420" w:firstLineChars="200"/>
        <w:jc w:val="left"/>
        <w:rPr>
          <w:szCs w:val="21"/>
        </w:rPr>
      </w:pPr>
      <w:r>
        <w:rPr>
          <w:szCs w:val="21"/>
        </w:rPr>
        <w:t>3、设备进出场：调查计划3批次进场，使用GP钻机</w:t>
      </w:r>
      <w:r>
        <w:rPr>
          <w:rFonts w:hint="eastAsia"/>
          <w:szCs w:val="21"/>
        </w:rPr>
        <w:t>（专业钻探设备）</w:t>
      </w:r>
      <w:r>
        <w:rPr>
          <w:szCs w:val="21"/>
        </w:rPr>
        <w:t>4台，1m</w:t>
      </w:r>
      <w:r>
        <w:rPr>
          <w:szCs w:val="21"/>
          <w:vertAlign w:val="superscript"/>
        </w:rPr>
        <w:t>3</w:t>
      </w:r>
      <w:r>
        <w:rPr>
          <w:szCs w:val="21"/>
        </w:rPr>
        <w:t>挖机5个台班。具体实施阶段土壤和地下水检测点位数量和钻探深度根据采购方制定的布点方案确定，并根据现场情况和分批检测结果调整。</w:t>
      </w:r>
    </w:p>
    <w:p>
      <w:pPr>
        <w:spacing w:line="460" w:lineRule="exact"/>
        <w:ind w:firstLine="420" w:firstLineChars="200"/>
        <w:jc w:val="left"/>
        <w:rPr>
          <w:szCs w:val="21"/>
        </w:rPr>
      </w:pPr>
      <w:r>
        <w:rPr>
          <w:szCs w:val="21"/>
        </w:rPr>
        <w:t>4、采样过程中需现场记录、拍照等，现场配备白板，每个钻探点位拍摄的照片必须包含点位位置照片、现场钻探过程照片、剖管后剖面图照片（含深度区间范围）等。现场工作结束3日内按照甲方要求的数据格式提供纸质材料和电子材料（包括但不限于：钻孔记录、RTK测量、测量点位图、成井记录单、洗井记录单、照片等）。</w:t>
      </w:r>
    </w:p>
    <w:p>
      <w:pPr>
        <w:pStyle w:val="10"/>
        <w:spacing w:line="460" w:lineRule="exact"/>
        <w:ind w:firstLine="422" w:firstLineChars="200"/>
        <w:rPr>
          <w:rFonts w:ascii="Times New Roman" w:hAnsi="Times New Roman" w:cs="Times New Roman"/>
          <w:b/>
          <w:bCs/>
        </w:rPr>
      </w:pPr>
      <w:r>
        <w:rPr>
          <w:rFonts w:ascii="Times New Roman" w:hAnsi="Times New Roman" w:cs="Times New Roman"/>
          <w:b/>
          <w:bCs/>
        </w:rPr>
        <w:t>报价清单详见附件</w:t>
      </w:r>
    </w:p>
    <w:p>
      <w:pPr>
        <w:pStyle w:val="10"/>
        <w:spacing w:line="460" w:lineRule="exact"/>
        <w:ind w:firstLine="420" w:firstLineChars="200"/>
        <w:rPr>
          <w:rFonts w:ascii="Times New Roman" w:hAnsi="Times New Roman" w:cs="Times New Roman"/>
        </w:rPr>
      </w:pPr>
      <w:r>
        <w:rPr>
          <w:rFonts w:ascii="Times New Roman" w:hAnsi="Times New Roman" w:cs="Times New Roman"/>
        </w:rPr>
        <w:t>（二）现场管理：</w:t>
      </w:r>
    </w:p>
    <w:p>
      <w:pPr>
        <w:pStyle w:val="10"/>
        <w:spacing w:line="460" w:lineRule="exact"/>
        <w:ind w:firstLine="420" w:firstLineChars="200"/>
        <w:rPr>
          <w:rFonts w:ascii="Times New Roman" w:hAnsi="Times New Roman" w:cs="Times New Roman"/>
        </w:rPr>
      </w:pPr>
      <w:r>
        <w:rPr>
          <w:rFonts w:ascii="Times New Roman" w:hAnsi="Times New Roman" w:cs="Times New Roman"/>
        </w:rPr>
        <w:t>乙方进场后必须遵守甲方对地块的管理。由于场地全封闭管理，乙方需确保进入施工场地随行人员无无关人员。</w:t>
      </w:r>
    </w:p>
    <w:p>
      <w:pPr>
        <w:pStyle w:val="10"/>
        <w:spacing w:line="460" w:lineRule="exact"/>
        <w:ind w:firstLine="420" w:firstLineChars="200"/>
        <w:rPr>
          <w:rFonts w:ascii="Times New Roman" w:hAnsi="Times New Roman" w:cs="Times New Roman"/>
        </w:rPr>
      </w:pPr>
      <w:r>
        <w:rPr>
          <w:rFonts w:ascii="Times New Roman" w:hAnsi="Times New Roman" w:cs="Times New Roman"/>
        </w:rPr>
        <w:t>（三）技术要求：</w:t>
      </w:r>
    </w:p>
    <w:p>
      <w:pPr>
        <w:pStyle w:val="10"/>
        <w:spacing w:line="460" w:lineRule="exact"/>
        <w:ind w:firstLine="420" w:firstLineChars="200"/>
        <w:rPr>
          <w:rFonts w:ascii="Times New Roman" w:hAnsi="Times New Roman" w:cs="Times New Roman"/>
        </w:rPr>
      </w:pPr>
      <w:r>
        <w:rPr>
          <w:rFonts w:ascii="Times New Roman" w:hAnsi="Times New Roman" w:cs="Times New Roman"/>
        </w:rPr>
        <w:t>乙方必须按照最新的国家及地方相关法律法规开展，包括但不限于HJ25.1、HJ25.2、《工业企业场地环境调查评估与修复工作指南（试行）》、《建设用地土壤污染状况调查质量控制技术规定（试行）》、《建设用地土壤污染状况初步调查监督检查工作指南（试行）》等文件要求进行现场钻探建井工作，包括土孔钻探，地下水监测井建设等工作。</w:t>
      </w:r>
    </w:p>
    <w:p>
      <w:pPr>
        <w:pStyle w:val="10"/>
        <w:spacing w:line="460" w:lineRule="exact"/>
        <w:ind w:firstLine="420" w:firstLineChars="200"/>
        <w:rPr>
          <w:rFonts w:ascii="Times New Roman" w:hAnsi="Times New Roman" w:cs="Times New Roman"/>
        </w:rPr>
      </w:pPr>
      <w:r>
        <w:rPr>
          <w:rFonts w:ascii="Times New Roman" w:hAnsi="Times New Roman" w:cs="Times New Roman"/>
        </w:rPr>
        <w:t>1、乙方现场需安排1名专门项目经理，负责与我单位现场负责人员对接，由项目经理每日上报当天建井工作量；现场钻探过程中有出现点位编号位置更改等情况，修改内容当日形成书面内容上报，并统一整理成专项记录以备查。</w:t>
      </w:r>
    </w:p>
    <w:p>
      <w:pPr>
        <w:pStyle w:val="10"/>
        <w:spacing w:line="460" w:lineRule="exact"/>
        <w:ind w:firstLine="420" w:firstLineChars="200"/>
        <w:rPr>
          <w:rFonts w:ascii="Times New Roman" w:hAnsi="Times New Roman" w:cs="Times New Roman"/>
        </w:rPr>
      </w:pPr>
      <w:r>
        <w:rPr>
          <w:rFonts w:ascii="Times New Roman" w:hAnsi="Times New Roman" w:cs="Times New Roman"/>
        </w:rPr>
        <w:t>2、乙方采样过程中需现场记录、拍照等，现场配备白板，每个钻探点位拍摄的照片必须包含点位位置照片、现场钻探过程照片、剖管后剖面图照片（含深度区间范围）等。现场工作结束3日内乙方按照要求的数据格式，向甲方提供纸质材料和电子材料（包括但不限于：钻孔记录单、建井记录单、洗井记录单、建井验收记录表、RTK测量、测量点位图、照片等），现场工作需满足本项目监理及审计工作要求。</w:t>
      </w:r>
    </w:p>
    <w:p>
      <w:pPr>
        <w:pStyle w:val="10"/>
        <w:spacing w:line="460" w:lineRule="exact"/>
        <w:ind w:firstLine="420" w:firstLineChars="200"/>
        <w:rPr>
          <w:rFonts w:ascii="Times New Roman" w:hAnsi="Times New Roman" w:cs="Times New Roman"/>
        </w:rPr>
      </w:pPr>
      <w:r>
        <w:rPr>
          <w:rFonts w:ascii="Times New Roman" w:hAnsi="Times New Roman" w:cs="Times New Roman"/>
        </w:rPr>
        <w:t>3、二次污染防治要求</w:t>
      </w:r>
    </w:p>
    <w:p>
      <w:pPr>
        <w:pStyle w:val="10"/>
        <w:spacing w:line="460" w:lineRule="exact"/>
        <w:ind w:firstLine="420" w:firstLineChars="200"/>
        <w:rPr>
          <w:rFonts w:ascii="Times New Roman" w:hAnsi="Times New Roman" w:cs="Times New Roman"/>
        </w:rPr>
      </w:pPr>
      <w:r>
        <w:rPr>
          <w:rFonts w:ascii="Times New Roman" w:hAnsi="Times New Roman" w:cs="Times New Roman"/>
        </w:rPr>
        <w:t>（1）钻探及建井产生的废土、泥浆和洗井废水应统一收集并合法合规处理，不得随意丢弃；对废弃的一次性手套、口罩等个人防护用品应按照法律法规要求进行收集处置。采样过程中产生的类似措施费均由乙方自行承担。</w:t>
      </w:r>
    </w:p>
    <w:p>
      <w:pPr>
        <w:pStyle w:val="10"/>
        <w:spacing w:line="460" w:lineRule="exact"/>
        <w:ind w:firstLine="420" w:firstLineChars="200"/>
        <w:rPr>
          <w:rFonts w:ascii="Times New Roman" w:hAnsi="Times New Roman" w:cs="Times New Roman"/>
        </w:rPr>
      </w:pPr>
      <w:r>
        <w:rPr>
          <w:rFonts w:ascii="Times New Roman" w:hAnsi="Times New Roman" w:cs="Times New Roman"/>
        </w:rPr>
        <w:t>（2）产生泥浆的点位，需铺设防雨布等防护材料，禁止泥浆随意流淌，禁止污染草地和路面；</w:t>
      </w:r>
    </w:p>
    <w:p>
      <w:pPr>
        <w:pStyle w:val="10"/>
        <w:spacing w:line="460" w:lineRule="exact"/>
        <w:ind w:firstLine="420" w:firstLineChars="200"/>
        <w:rPr>
          <w:rFonts w:ascii="Times New Roman" w:hAnsi="Times New Roman" w:cs="Times New Roman"/>
        </w:rPr>
      </w:pPr>
      <w:r>
        <w:rPr>
          <w:rFonts w:ascii="Times New Roman" w:hAnsi="Times New Roman" w:cs="Times New Roman"/>
        </w:rPr>
        <w:t>（3）乙方负责施工现场清洁工作，建设的每口井周边铺设彩条布，收集废土。泥土等严禁携带到路面，建井单位负责清扫处置，并提供相关的台账记录和图/视频证明。</w:t>
      </w:r>
    </w:p>
    <w:p>
      <w:pPr>
        <w:pStyle w:val="10"/>
        <w:spacing w:line="460" w:lineRule="exact"/>
        <w:ind w:firstLine="420" w:firstLineChars="200"/>
        <w:rPr>
          <w:rFonts w:ascii="Times New Roman" w:hAnsi="Times New Roman" w:cs="Times New Roman"/>
        </w:rPr>
      </w:pPr>
      <w:r>
        <w:rPr>
          <w:rFonts w:ascii="Times New Roman" w:hAnsi="Times New Roman" w:cs="Times New Roman"/>
        </w:rPr>
        <w:t>4、甲方协助乙方对接确认建井点位地下管线情况，但不最终确认，若施工过程造成管线破损，造成的损失由乙方负责；</w:t>
      </w:r>
    </w:p>
    <w:p>
      <w:pPr>
        <w:pStyle w:val="10"/>
        <w:spacing w:line="460" w:lineRule="exact"/>
        <w:ind w:firstLine="420" w:firstLineChars="200"/>
        <w:rPr>
          <w:rFonts w:ascii="Times New Roman" w:hAnsi="Times New Roman" w:cs="Times New Roman"/>
        </w:rPr>
      </w:pPr>
      <w:r>
        <w:rPr>
          <w:rFonts w:ascii="Times New Roman" w:hAnsi="Times New Roman" w:cs="Times New Roman"/>
        </w:rPr>
        <w:t>5、应按国家相关安全操作规定进行作业，乙方在现场作业施工过程中由于乙方的过错或责任造成对甲方、第三方或者自身损害的，产生的相应责任与后果均由乙方负责。</w:t>
      </w:r>
    </w:p>
    <w:p>
      <w:pPr>
        <w:pStyle w:val="10"/>
        <w:spacing w:line="460" w:lineRule="exact"/>
        <w:ind w:firstLine="420" w:firstLineChars="200"/>
        <w:rPr>
          <w:rFonts w:ascii="Times New Roman" w:hAnsi="Times New Roman" w:cs="Times New Roman"/>
        </w:rPr>
      </w:pPr>
      <w:r>
        <w:rPr>
          <w:rFonts w:ascii="Times New Roman" w:hAnsi="Times New Roman" w:cs="Times New Roman"/>
        </w:rPr>
        <w:t>（四）服务期限：</w:t>
      </w:r>
    </w:p>
    <w:p>
      <w:pPr>
        <w:spacing w:line="460" w:lineRule="exact"/>
        <w:ind w:firstLine="560"/>
        <w:rPr>
          <w:rFonts w:eastAsiaTheme="minorEastAsia"/>
          <w:szCs w:val="21"/>
        </w:rPr>
      </w:pPr>
      <w:r>
        <w:rPr>
          <w:rFonts w:eastAsiaTheme="minorEastAsia"/>
          <w:szCs w:val="21"/>
        </w:rPr>
        <w:t>（1）服务期限为项目合同签订之日起至项目全部完成，且项目通过专家评审。</w:t>
      </w:r>
    </w:p>
    <w:p>
      <w:pPr>
        <w:spacing w:line="460" w:lineRule="exact"/>
        <w:ind w:firstLine="560"/>
        <w:rPr>
          <w:rFonts w:eastAsiaTheme="minorEastAsia"/>
          <w:szCs w:val="21"/>
        </w:rPr>
      </w:pPr>
      <w:r>
        <w:rPr>
          <w:rFonts w:eastAsiaTheme="minorEastAsia"/>
          <w:szCs w:val="21"/>
        </w:rPr>
        <w:t>（2）中标人应在接到采购方通知后2日内响应进场，钻探过程中中标人须无条件服从甲方时间进度安排。</w:t>
      </w:r>
    </w:p>
    <w:p>
      <w:pPr>
        <w:spacing w:line="460" w:lineRule="exact"/>
        <w:ind w:firstLine="560"/>
        <w:rPr>
          <w:rFonts w:eastAsiaTheme="minorEastAsia"/>
          <w:szCs w:val="21"/>
        </w:rPr>
      </w:pPr>
      <w:r>
        <w:rPr>
          <w:rFonts w:eastAsiaTheme="minorEastAsia"/>
          <w:szCs w:val="21"/>
        </w:rPr>
        <w:t>（3）正式开工后，需配备至少2台钻机设备及班组同时进场作业，每个班组不少于4人，每批次现场工作结束后3日内提交所有材料电子稿和纸质稿。</w:t>
      </w:r>
    </w:p>
    <w:p>
      <w:pPr>
        <w:pStyle w:val="10"/>
        <w:spacing w:line="460" w:lineRule="exact"/>
        <w:ind w:firstLine="420" w:firstLineChars="200"/>
        <w:rPr>
          <w:rFonts w:ascii="Times New Roman" w:hAnsi="Times New Roman" w:cs="Times New Roman"/>
        </w:rPr>
      </w:pPr>
      <w:r>
        <w:rPr>
          <w:rFonts w:ascii="Times New Roman" w:hAnsi="Times New Roman" w:cs="Times New Roman"/>
        </w:rPr>
        <w:t>（五）提交成果：</w:t>
      </w:r>
    </w:p>
    <w:p>
      <w:pPr>
        <w:spacing w:line="460" w:lineRule="exact"/>
        <w:ind w:firstLine="560"/>
        <w:rPr>
          <w:rFonts w:eastAsiaTheme="minorEastAsia"/>
          <w:szCs w:val="21"/>
        </w:rPr>
      </w:pPr>
      <w:r>
        <w:rPr>
          <w:rFonts w:eastAsiaTheme="minorEastAsia"/>
          <w:szCs w:val="21"/>
        </w:rPr>
        <w:t>提交钻探服务提供全部技术资料（盖章件）。</w:t>
      </w:r>
    </w:p>
    <w:p>
      <w:pPr>
        <w:pStyle w:val="5"/>
        <w:numPr>
          <w:ilvl w:val="0"/>
          <w:numId w:val="2"/>
        </w:numPr>
        <w:spacing w:line="460" w:lineRule="exact"/>
        <w:ind w:firstLineChars="200"/>
        <w:rPr>
          <w:rFonts w:ascii="Times New Roman"/>
          <w:sz w:val="21"/>
          <w:szCs w:val="21"/>
        </w:rPr>
      </w:pPr>
      <w:r>
        <w:rPr>
          <w:rFonts w:ascii="Times New Roman"/>
          <w:sz w:val="21"/>
          <w:szCs w:val="21"/>
        </w:rPr>
        <w:t>双方职责</w:t>
      </w:r>
    </w:p>
    <w:p>
      <w:pPr>
        <w:pStyle w:val="10"/>
        <w:spacing w:line="460" w:lineRule="exact"/>
        <w:ind w:firstLine="420" w:firstLineChars="200"/>
        <w:rPr>
          <w:rFonts w:ascii="Times New Roman" w:hAnsi="Times New Roman" w:cs="Times New Roman"/>
        </w:rPr>
      </w:pPr>
      <w:r>
        <w:rPr>
          <w:rFonts w:ascii="Times New Roman" w:hAnsi="Times New Roman" w:cs="Times New Roman"/>
        </w:rPr>
        <w:t>甲方：</w:t>
      </w:r>
    </w:p>
    <w:p>
      <w:pPr>
        <w:pStyle w:val="10"/>
        <w:spacing w:line="460" w:lineRule="exact"/>
        <w:ind w:firstLine="420" w:firstLineChars="200"/>
        <w:rPr>
          <w:rFonts w:ascii="Times New Roman" w:hAnsi="Times New Roman" w:cs="Times New Roman"/>
        </w:rPr>
      </w:pPr>
      <w:r>
        <w:rPr>
          <w:rFonts w:ascii="Times New Roman" w:hAnsi="Times New Roman" w:cs="Times New Roman"/>
        </w:rPr>
        <w:t>1、甲方负责在中标通知书发出之日起向乙方提供此次调查的方案和技术要求，包括钻探点位、建井深度和参数，并通知乙方进场。</w:t>
      </w:r>
    </w:p>
    <w:p>
      <w:pPr>
        <w:pStyle w:val="10"/>
        <w:spacing w:line="460" w:lineRule="exact"/>
        <w:ind w:firstLine="420" w:firstLineChars="200"/>
        <w:rPr>
          <w:rFonts w:ascii="Times New Roman" w:hAnsi="Times New Roman" w:cs="Times New Roman"/>
        </w:rPr>
      </w:pPr>
      <w:r>
        <w:rPr>
          <w:rFonts w:ascii="Times New Roman" w:hAnsi="Times New Roman" w:cs="Times New Roman"/>
        </w:rPr>
        <w:t>2、派人配合做好有关协调事宜，确保现场采样顺利进行。</w:t>
      </w:r>
    </w:p>
    <w:p>
      <w:pPr>
        <w:pStyle w:val="10"/>
        <w:spacing w:line="460" w:lineRule="exact"/>
        <w:ind w:firstLine="420" w:firstLineChars="200"/>
        <w:rPr>
          <w:rFonts w:ascii="Times New Roman" w:hAnsi="Times New Roman" w:cs="Times New Roman"/>
        </w:rPr>
      </w:pPr>
      <w:r>
        <w:rPr>
          <w:rFonts w:ascii="Times New Roman" w:hAnsi="Times New Roman" w:cs="Times New Roman"/>
        </w:rPr>
        <w:t>乙方：</w:t>
      </w:r>
    </w:p>
    <w:p>
      <w:pPr>
        <w:widowControl/>
        <w:spacing w:line="460" w:lineRule="exact"/>
        <w:ind w:firstLine="420" w:firstLineChars="200"/>
        <w:rPr>
          <w:bCs/>
          <w:szCs w:val="21"/>
        </w:rPr>
      </w:pPr>
      <w:r>
        <w:rPr>
          <w:bCs/>
          <w:szCs w:val="21"/>
        </w:rPr>
        <w:t>１、乙方需做好接到甲方进场通知后次日进场的工作条件，负责现场管理及现场作业人员的相关安全教育。应按国家相关安全操作规定进行作业，乙方在现场作业施工过程中由于乙方的过错或责任造成对甲方、第三方或者自身损害的，产生的相应责任与后果均由乙方负责。</w:t>
      </w:r>
    </w:p>
    <w:p>
      <w:pPr>
        <w:widowControl/>
        <w:spacing w:line="460" w:lineRule="exact"/>
        <w:ind w:firstLine="420" w:firstLineChars="200"/>
        <w:rPr>
          <w:bCs/>
          <w:szCs w:val="21"/>
        </w:rPr>
      </w:pPr>
      <w:r>
        <w:rPr>
          <w:bCs/>
          <w:szCs w:val="21"/>
        </w:rPr>
        <w:t>２、若由于乙方工作原因导致现场采样及检测质量等不满足工作要求（包括但不限于现场建井不满足技术要求，建井记录单记录不规范、现场照片拍摄不规范等），甲方有权对不符合要求的委托事项不再支付费用，同时由乙方免费重新开展相应委托内容。</w:t>
      </w:r>
    </w:p>
    <w:p>
      <w:pPr>
        <w:widowControl/>
        <w:spacing w:line="460" w:lineRule="exact"/>
        <w:ind w:firstLine="420" w:firstLineChars="200"/>
        <w:rPr>
          <w:bCs/>
          <w:szCs w:val="21"/>
        </w:rPr>
      </w:pPr>
      <w:r>
        <w:rPr>
          <w:bCs/>
          <w:szCs w:val="21"/>
        </w:rPr>
        <w:t>３、若由于乙方工作质量问题导致甲方产生损失，包括但不限于钻探费、人员费、车辆费及误工费等，全部由乙方承担，且甲方不支付任何检测费。</w:t>
      </w:r>
    </w:p>
    <w:p>
      <w:pPr>
        <w:widowControl/>
        <w:spacing w:line="460" w:lineRule="exact"/>
        <w:ind w:firstLine="420" w:firstLineChars="200"/>
        <w:rPr>
          <w:bCs/>
          <w:szCs w:val="21"/>
        </w:rPr>
      </w:pPr>
      <w:r>
        <w:rPr>
          <w:bCs/>
          <w:szCs w:val="21"/>
        </w:rPr>
        <w:t>４、乙方结算时需按甲方要求提供结算资料，乙方未提供结算资料或未按要求提供结算资料的，甲方不予结算，造成甲方损失的还需由乙方承担。</w:t>
      </w:r>
    </w:p>
    <w:p>
      <w:pPr>
        <w:widowControl/>
        <w:spacing w:line="460" w:lineRule="exact"/>
        <w:ind w:firstLine="420" w:firstLineChars="200"/>
        <w:rPr>
          <w:bCs/>
          <w:szCs w:val="21"/>
        </w:rPr>
      </w:pPr>
      <w:r>
        <w:rPr>
          <w:bCs/>
          <w:szCs w:val="21"/>
        </w:rPr>
        <w:t>５、项目施工产生的二次污染均需妥善处置，安全及二次污染防治措施费均由乙方自行承担。</w:t>
      </w:r>
    </w:p>
    <w:p>
      <w:pPr>
        <w:widowControl/>
        <w:spacing w:line="460" w:lineRule="exact"/>
        <w:ind w:firstLine="420" w:firstLineChars="200"/>
        <w:rPr>
          <w:bCs/>
          <w:szCs w:val="21"/>
        </w:rPr>
      </w:pPr>
      <w:r>
        <w:rPr>
          <w:bCs/>
          <w:szCs w:val="21"/>
        </w:rPr>
        <w:t>６、实施过程中发生无法预计的问题，由双方协商解决。</w:t>
      </w:r>
    </w:p>
    <w:p>
      <w:pPr>
        <w:widowControl/>
        <w:spacing w:line="460" w:lineRule="exact"/>
        <w:ind w:firstLine="420" w:firstLineChars="200"/>
        <w:rPr>
          <w:spacing w:val="2"/>
          <w:kern w:val="0"/>
          <w:szCs w:val="21"/>
        </w:rPr>
      </w:pPr>
      <w:r>
        <w:rPr>
          <w:szCs w:val="21"/>
        </w:rPr>
        <w:t>三、费用组成及支付方式：</w:t>
      </w:r>
    </w:p>
    <w:p>
      <w:pPr>
        <w:spacing w:line="460" w:lineRule="exact"/>
        <w:ind w:firstLine="420" w:firstLineChars="200"/>
        <w:jc w:val="left"/>
        <w:rPr>
          <w:szCs w:val="21"/>
        </w:rPr>
      </w:pPr>
      <w:r>
        <w:rPr>
          <w:bCs/>
          <w:szCs w:val="21"/>
        </w:rPr>
        <w:t>本项目投标报价为</w:t>
      </w:r>
      <w:r>
        <w:rPr>
          <w:b/>
          <w:szCs w:val="21"/>
        </w:rPr>
        <w:t>固定单价</w:t>
      </w:r>
      <w:r>
        <w:rPr>
          <w:bCs/>
          <w:szCs w:val="21"/>
        </w:rPr>
        <w:t>，结算依据报价清单中各子项内容、钻井数量和钻探深度按实结算，投标总价应包括招标文件所确定的招标范围相应服务的提供、人员（包括工资和补贴）、办公场所</w:t>
      </w:r>
      <w:r>
        <w:rPr>
          <w:szCs w:val="21"/>
        </w:rPr>
        <w:t>及设施、保险、劳保、管理、各种税费、利润、税金、政策性文件规定及合同包含的所有风险、责任等各项应有费用，以及为完成该项服务项目所涉及到的一切相关费用（含所有资料获取费用），甲方不再支付其他任何费用。</w:t>
      </w:r>
    </w:p>
    <w:p>
      <w:pPr>
        <w:spacing w:line="460" w:lineRule="exact"/>
        <w:ind w:firstLine="422" w:firstLineChars="200"/>
        <w:jc w:val="left"/>
        <w:rPr>
          <w:szCs w:val="21"/>
        </w:rPr>
      </w:pPr>
      <w:r>
        <w:rPr>
          <w:b/>
          <w:bCs/>
          <w:szCs w:val="21"/>
        </w:rPr>
        <w:t>本项目结算采用固定单价，按实结算。</w:t>
      </w:r>
      <w:r>
        <w:rPr>
          <w:szCs w:val="21"/>
        </w:rPr>
        <w:t>乙方完成现场全部工作，提供全部技术资料（盖章件），项目</w:t>
      </w:r>
      <w:r>
        <w:rPr>
          <w:rFonts w:hint="eastAsia"/>
          <w:szCs w:val="21"/>
        </w:rPr>
        <w:t>通过专家评审</w:t>
      </w:r>
      <w:r>
        <w:rPr>
          <w:szCs w:val="21"/>
        </w:rPr>
        <w:t>，甲方确认乙方结算申请且具备结算条件后一次性付清。每次甲方支付前，乙方需开具正式增值税专用发票。超出报价清单工作范围的工作内容在发生前需与甲方协商签订补充合同，但所有补充合同的采购总金额不超过本合同金额的10%。未签订补充合同的不予结算。</w:t>
      </w:r>
    </w:p>
    <w:p>
      <w:pPr>
        <w:pStyle w:val="10"/>
        <w:spacing w:line="460" w:lineRule="exact"/>
        <w:ind w:firstLine="420" w:firstLineChars="200"/>
        <w:rPr>
          <w:rFonts w:ascii="Times New Roman" w:hAnsi="Times New Roman" w:cs="Times New Roman"/>
        </w:rPr>
      </w:pPr>
      <w:r>
        <w:rPr>
          <w:rFonts w:ascii="Times New Roman" w:hAnsi="Times New Roman" w:cs="Times New Roman"/>
        </w:rPr>
        <w:t>四、下列文件应视为构成并作为阅读和理解本协议的组成部分，即：</w:t>
      </w:r>
    </w:p>
    <w:p>
      <w:pPr>
        <w:pStyle w:val="10"/>
        <w:spacing w:line="460" w:lineRule="exact"/>
        <w:ind w:firstLine="420" w:firstLineChars="200"/>
        <w:rPr>
          <w:rFonts w:ascii="Times New Roman" w:hAnsi="Times New Roman" w:cs="Times New Roman"/>
        </w:rPr>
      </w:pPr>
      <w:r>
        <w:rPr>
          <w:rFonts w:ascii="Times New Roman" w:hAnsi="Times New Roman" w:cs="Times New Roman"/>
        </w:rPr>
        <w:t>1、本协议书；</w:t>
      </w:r>
    </w:p>
    <w:p>
      <w:pPr>
        <w:pStyle w:val="10"/>
        <w:spacing w:line="460" w:lineRule="exact"/>
        <w:ind w:firstLine="420" w:firstLineChars="200"/>
        <w:rPr>
          <w:rFonts w:ascii="Times New Roman" w:hAnsi="Times New Roman" w:cs="Times New Roman"/>
        </w:rPr>
      </w:pPr>
      <w:r>
        <w:rPr>
          <w:rFonts w:ascii="Times New Roman" w:hAnsi="Times New Roman" w:cs="Times New Roman"/>
        </w:rPr>
        <w:t>2、采购文件；</w:t>
      </w:r>
    </w:p>
    <w:p>
      <w:pPr>
        <w:pStyle w:val="10"/>
        <w:spacing w:line="460" w:lineRule="exact"/>
        <w:ind w:firstLine="420" w:firstLineChars="200"/>
        <w:rPr>
          <w:rFonts w:ascii="Times New Roman" w:hAnsi="Times New Roman" w:cs="Times New Roman"/>
        </w:rPr>
      </w:pPr>
      <w:r>
        <w:rPr>
          <w:rFonts w:ascii="Times New Roman" w:hAnsi="Times New Roman" w:cs="Times New Roman"/>
        </w:rPr>
        <w:t>3、投标文件及其附件（含乙方在评标期间递交和确认并经甲方同意的对有关问题的补充资料和澄清文件等）；</w:t>
      </w:r>
    </w:p>
    <w:p>
      <w:pPr>
        <w:pStyle w:val="10"/>
        <w:spacing w:line="460" w:lineRule="exact"/>
        <w:ind w:firstLine="420" w:firstLineChars="200"/>
        <w:rPr>
          <w:rFonts w:ascii="Times New Roman" w:hAnsi="Times New Roman" w:cs="Times New Roman"/>
        </w:rPr>
      </w:pPr>
      <w:r>
        <w:rPr>
          <w:rFonts w:ascii="Times New Roman" w:hAnsi="Times New Roman" w:cs="Times New Roman"/>
        </w:rPr>
        <w:t>4、中标通知书。</w:t>
      </w:r>
    </w:p>
    <w:p>
      <w:pPr>
        <w:pStyle w:val="10"/>
        <w:spacing w:line="460" w:lineRule="exact"/>
        <w:ind w:firstLine="420" w:firstLineChars="200"/>
        <w:rPr>
          <w:rFonts w:ascii="Times New Roman" w:hAnsi="Times New Roman" w:cs="Times New Roman"/>
        </w:rPr>
      </w:pPr>
      <w:r>
        <w:rPr>
          <w:rFonts w:ascii="Times New Roman" w:hAnsi="Times New Roman" w:cs="Times New Roman"/>
        </w:rPr>
        <w:t>五、履约保证金</w:t>
      </w:r>
    </w:p>
    <w:p>
      <w:pPr>
        <w:pStyle w:val="10"/>
        <w:spacing w:line="460" w:lineRule="exact"/>
        <w:ind w:firstLine="420" w:firstLineChars="200"/>
        <w:rPr>
          <w:rFonts w:ascii="Times New Roman" w:hAnsi="Times New Roman" w:cs="Times New Roman"/>
        </w:rPr>
      </w:pPr>
      <w:r>
        <w:rPr>
          <w:rFonts w:ascii="Times New Roman" w:hAnsi="Times New Roman" w:cs="Times New Roman"/>
        </w:rPr>
        <w:t>1、乙方应按照招标文件的约定在签订合同前提供合同总价格的10%的履约保证金，并注明该项目履约保证金。</w:t>
      </w:r>
    </w:p>
    <w:p>
      <w:pPr>
        <w:pStyle w:val="10"/>
        <w:spacing w:line="460" w:lineRule="exact"/>
        <w:ind w:firstLine="420" w:firstLineChars="200"/>
        <w:rPr>
          <w:rFonts w:ascii="Times New Roman" w:hAnsi="Times New Roman" w:cs="Times New Roman"/>
        </w:rPr>
      </w:pPr>
      <w:r>
        <w:rPr>
          <w:rFonts w:ascii="Times New Roman" w:hAnsi="Times New Roman" w:cs="Times New Roman"/>
        </w:rPr>
        <w:t>2、若乙方提供保函，则双方不履行本条第3款的约定。</w:t>
      </w:r>
    </w:p>
    <w:p>
      <w:pPr>
        <w:pStyle w:val="10"/>
        <w:spacing w:line="460" w:lineRule="exact"/>
        <w:ind w:firstLine="420" w:firstLineChars="200"/>
        <w:rPr>
          <w:rFonts w:ascii="Times New Roman" w:hAnsi="Times New Roman" w:cs="Times New Roman"/>
        </w:rPr>
      </w:pPr>
      <w:r>
        <w:rPr>
          <w:rFonts w:ascii="Times New Roman" w:hAnsi="Times New Roman" w:cs="Times New Roman"/>
        </w:rPr>
        <w:t>3、若乙方不能提供保函，则必须支付履约保证金，乙方未能履行合同规定的义务，甲方有权按照违约条款从履约保证金中直接扣取。履约保证金在项目通过验收，由乙方申请履约保证金退款，甲方在具备条件后无息退还。</w:t>
      </w:r>
    </w:p>
    <w:p>
      <w:pPr>
        <w:pStyle w:val="10"/>
        <w:spacing w:line="460" w:lineRule="exact"/>
        <w:ind w:firstLine="420" w:firstLineChars="200"/>
        <w:rPr>
          <w:rFonts w:ascii="Times New Roman" w:hAnsi="Times New Roman" w:cs="Times New Roman"/>
        </w:rPr>
      </w:pPr>
      <w:r>
        <w:rPr>
          <w:rFonts w:ascii="Times New Roman" w:hAnsi="Times New Roman" w:cs="Times New Roman"/>
        </w:rPr>
        <w:t>六、违约责任</w:t>
      </w:r>
    </w:p>
    <w:p>
      <w:pPr>
        <w:pStyle w:val="10"/>
        <w:spacing w:line="460" w:lineRule="exact"/>
        <w:ind w:firstLine="420" w:firstLineChars="200"/>
        <w:rPr>
          <w:rFonts w:ascii="Times New Roman" w:hAnsi="Times New Roman" w:cs="Times New Roman"/>
        </w:rPr>
      </w:pPr>
      <w:r>
        <w:rPr>
          <w:rFonts w:ascii="Times New Roman" w:hAnsi="Times New Roman" w:cs="Times New Roman"/>
        </w:rPr>
        <w:t>１、甲方负责在中标通知书发出之日起向乙方提供此次调查的方案和技术要求，并通知乙方进场，乙方需做好次日进场的工作条件。</w:t>
      </w:r>
    </w:p>
    <w:p>
      <w:pPr>
        <w:pStyle w:val="10"/>
        <w:spacing w:line="460" w:lineRule="exact"/>
        <w:ind w:firstLine="420" w:firstLineChars="200"/>
        <w:rPr>
          <w:rFonts w:ascii="Times New Roman" w:hAnsi="Times New Roman" w:cs="Times New Roman"/>
        </w:rPr>
      </w:pPr>
      <w:r>
        <w:rPr>
          <w:rFonts w:ascii="Times New Roman" w:hAnsi="Times New Roman" w:cs="Times New Roman"/>
        </w:rPr>
        <w:t>2、乙方不能按时进场工作，每逾期1天，乙方向甲方偿付合同总额5‰的违约金；乙方逾期完成超过10天（含10天），甲方有权解除合同，乙方交纳的全部履约保证金不予退还，同时有权要求乙方按照合同总价10%的标准支付违约金，解除合同的通知自发出之日生效。</w:t>
      </w:r>
    </w:p>
    <w:p>
      <w:pPr>
        <w:pStyle w:val="10"/>
        <w:spacing w:line="460" w:lineRule="exact"/>
        <w:ind w:firstLine="420" w:firstLineChars="200"/>
        <w:rPr>
          <w:rFonts w:ascii="Times New Roman" w:hAnsi="Times New Roman" w:cs="Times New Roman"/>
        </w:rPr>
      </w:pPr>
      <w:r>
        <w:rPr>
          <w:rFonts w:ascii="Times New Roman" w:hAnsi="Times New Roman" w:cs="Times New Roman"/>
        </w:rPr>
        <w:t>3、乙方未按本合同的规定和“服务承诺”提供伴随服务/售后服务的，甲方有权提前解除本合同，同时乙方应按合同总价款的10 %向甲方承担违约责任。</w:t>
      </w:r>
    </w:p>
    <w:p>
      <w:pPr>
        <w:pStyle w:val="10"/>
        <w:spacing w:line="460" w:lineRule="exact"/>
        <w:ind w:firstLine="420" w:firstLineChars="200"/>
        <w:rPr>
          <w:rFonts w:ascii="Times New Roman" w:hAnsi="Times New Roman" w:cs="Times New Roman"/>
        </w:rPr>
      </w:pPr>
      <w:r>
        <w:rPr>
          <w:rFonts w:ascii="Times New Roman" w:hAnsi="Times New Roman" w:cs="Times New Roman"/>
        </w:rPr>
        <w:t>4、乙方在承担上述一项或多项违约责任后，仍应继续履行合同规定的义务（甲方解除合同的除外）。甲方未能及时追究乙方的任何一项违约责任并不表明甲方放弃追究乙方该项或其他违约责任。</w:t>
      </w:r>
    </w:p>
    <w:p>
      <w:pPr>
        <w:pStyle w:val="10"/>
        <w:spacing w:line="460" w:lineRule="exact"/>
        <w:ind w:firstLine="420" w:firstLineChars="200"/>
        <w:rPr>
          <w:rFonts w:ascii="Times New Roman" w:hAnsi="Times New Roman" w:cs="Times New Roman"/>
        </w:rPr>
      </w:pPr>
      <w:r>
        <w:rPr>
          <w:rFonts w:ascii="Times New Roman" w:hAnsi="Times New Roman" w:cs="Times New Roman"/>
        </w:rPr>
        <w:t>5、乙方属虚假承诺，或经权威部门监测提供的服务（技术成果）不能满足甲方要求，或是由于乙方的过错造成合同无法继续履行的，除乙方已交履约保证金不予退还外，还应向甲方支付不少于合同总价30%违约金，若该违约金不足以弥补甲方损失，则应当赔偿甲方所有损失。</w:t>
      </w:r>
    </w:p>
    <w:p>
      <w:pPr>
        <w:pStyle w:val="10"/>
        <w:spacing w:line="460" w:lineRule="exact"/>
        <w:ind w:firstLine="420" w:firstLineChars="200"/>
        <w:rPr>
          <w:rFonts w:ascii="Times New Roman" w:hAnsi="Times New Roman" w:cs="Times New Roman"/>
        </w:rPr>
      </w:pPr>
      <w:r>
        <w:rPr>
          <w:rFonts w:ascii="Times New Roman" w:hAnsi="Times New Roman" w:cs="Times New Roman"/>
        </w:rPr>
        <w:t>6、在合同履行过程中，甲方、乙方应注意保密。在该项目工程中取得的有关信息、资料，乙方人员未经甲方同意，不得向不参与该项目工程的任何第三方透露及泄漏。</w:t>
      </w:r>
    </w:p>
    <w:p>
      <w:pPr>
        <w:pStyle w:val="10"/>
        <w:spacing w:line="460" w:lineRule="exact"/>
        <w:ind w:firstLine="420" w:firstLineChars="200"/>
        <w:rPr>
          <w:rFonts w:ascii="Times New Roman" w:hAnsi="Times New Roman" w:cs="Times New Roman"/>
        </w:rPr>
      </w:pPr>
      <w:r>
        <w:rPr>
          <w:rFonts w:ascii="Times New Roman" w:hAnsi="Times New Roman" w:cs="Times New Roman"/>
        </w:rPr>
        <w:t>七、不可抗力</w:t>
      </w:r>
    </w:p>
    <w:p>
      <w:pPr>
        <w:pStyle w:val="10"/>
        <w:spacing w:line="460" w:lineRule="exact"/>
        <w:ind w:firstLine="420" w:firstLineChars="200"/>
        <w:rPr>
          <w:rFonts w:ascii="Times New Roman" w:hAnsi="Times New Roman" w:cs="Times New Roman"/>
        </w:rPr>
      </w:pPr>
      <w:r>
        <w:rPr>
          <w:rFonts w:ascii="Times New Roman" w:hAnsi="Times New Roman" w:cs="Times New Roman"/>
        </w:rPr>
        <w:t>1、甲、乙双方如果因不可抗力而导致协议义务的延误或不能履行，不承担误期赔偿或终止协议的责任。</w:t>
      </w:r>
    </w:p>
    <w:p>
      <w:pPr>
        <w:pStyle w:val="10"/>
        <w:spacing w:line="460" w:lineRule="exact"/>
        <w:ind w:firstLine="420" w:firstLineChars="200"/>
        <w:rPr>
          <w:rFonts w:ascii="Times New Roman" w:hAnsi="Times New Roman" w:cs="Times New Roman"/>
        </w:rPr>
      </w:pPr>
      <w:r>
        <w:rPr>
          <w:rFonts w:ascii="Times New Roman" w:hAnsi="Times New Roman" w:cs="Times New Roman"/>
        </w:rPr>
        <w:t>2、本条所述的“不可抗力”系指下列甲、乙双方无法控制、不可预见的事件，但不包括甲、乙双方的违约或疏忽。这些事件包括：战争、严重火灾、洪水、台风、地震以及其他甲方和乙方商定的事件。</w:t>
      </w:r>
    </w:p>
    <w:p>
      <w:pPr>
        <w:pStyle w:val="10"/>
        <w:spacing w:line="460" w:lineRule="exact"/>
        <w:ind w:firstLine="420" w:firstLineChars="200"/>
        <w:rPr>
          <w:rFonts w:ascii="Times New Roman" w:hAnsi="Times New Roman" w:cs="Times New Roman"/>
        </w:rPr>
      </w:pPr>
      <w:r>
        <w:rPr>
          <w:rFonts w:ascii="Times New Roman" w:hAnsi="Times New Roman" w:cs="Times New Roman"/>
        </w:rPr>
        <w:t>3、在不可抗力事件发生后，受影响的一方应尽快以书面形式将不可抗力的情况和原因通知另一方。除书面另行要求外，受影响的一方应尽实际可能继续履行其相应义务，以及寻求采取合理的方案履行不受不可抗力影响的其他事项。如果不可抗力事件影响时间持续20天以上的，甲乙双方通过友好协商在合理的时间内达成进一步履行服务义务的协议。</w:t>
      </w:r>
    </w:p>
    <w:p>
      <w:pPr>
        <w:pStyle w:val="10"/>
        <w:spacing w:line="460" w:lineRule="exact"/>
        <w:ind w:firstLine="420" w:firstLineChars="200"/>
        <w:rPr>
          <w:rFonts w:ascii="Times New Roman" w:hAnsi="Times New Roman" w:cs="Times New Roman"/>
        </w:rPr>
      </w:pPr>
      <w:r>
        <w:rPr>
          <w:rFonts w:ascii="Times New Roman" w:hAnsi="Times New Roman" w:cs="Times New Roman"/>
        </w:rPr>
        <w:t>八、合同的变更和终止</w:t>
      </w:r>
    </w:p>
    <w:p>
      <w:pPr>
        <w:pStyle w:val="10"/>
        <w:spacing w:line="460" w:lineRule="exact"/>
        <w:ind w:firstLine="420" w:firstLineChars="200"/>
        <w:rPr>
          <w:rFonts w:ascii="Times New Roman" w:hAnsi="Times New Roman" w:cs="Times New Roman"/>
        </w:rPr>
      </w:pPr>
      <w:r>
        <w:rPr>
          <w:rFonts w:ascii="Times New Roman" w:hAnsi="Times New Roman" w:cs="Times New Roman"/>
        </w:rPr>
        <w:t>1、本合同一经签订，甲乙双方不得擅自变更、中止或终止合同。</w:t>
      </w:r>
    </w:p>
    <w:p>
      <w:pPr>
        <w:pStyle w:val="10"/>
        <w:spacing w:line="460" w:lineRule="exact"/>
        <w:ind w:firstLine="420" w:firstLineChars="200"/>
        <w:rPr>
          <w:rFonts w:ascii="Times New Roman" w:hAnsi="Times New Roman" w:cs="Times New Roman"/>
        </w:rPr>
      </w:pPr>
      <w:r>
        <w:rPr>
          <w:rFonts w:ascii="Times New Roman" w:hAnsi="Times New Roman" w:cs="Times New Roman"/>
        </w:rPr>
        <w:t>2、除发生法律规定的不能预见、不能避免并不能克服的客观情况外，甲乙双方不得放弃或拒绝履行合同。</w:t>
      </w:r>
    </w:p>
    <w:p>
      <w:pPr>
        <w:pStyle w:val="10"/>
        <w:spacing w:line="460" w:lineRule="exact"/>
        <w:ind w:firstLine="420" w:firstLineChars="200"/>
        <w:rPr>
          <w:rFonts w:ascii="Times New Roman" w:hAnsi="Times New Roman" w:cs="Times New Roman"/>
        </w:rPr>
      </w:pPr>
      <w:r>
        <w:rPr>
          <w:rFonts w:ascii="Times New Roman" w:hAnsi="Times New Roman" w:cs="Times New Roman"/>
        </w:rPr>
        <w:t>3、甲方如果变更项目计划或增减工作量，须在乙方设备和人员调动之前通知乙方。</w:t>
      </w:r>
    </w:p>
    <w:p>
      <w:pPr>
        <w:pStyle w:val="10"/>
        <w:spacing w:line="460" w:lineRule="exact"/>
        <w:ind w:firstLine="420" w:firstLineChars="200"/>
        <w:rPr>
          <w:rFonts w:ascii="Times New Roman" w:hAnsi="Times New Roman" w:cs="Times New Roman"/>
        </w:rPr>
      </w:pPr>
      <w:r>
        <w:rPr>
          <w:rFonts w:ascii="Times New Roman" w:hAnsi="Times New Roman" w:cs="Times New Roman"/>
        </w:rPr>
        <w:t>九、合同争议的解决方式</w:t>
      </w:r>
    </w:p>
    <w:p>
      <w:pPr>
        <w:pStyle w:val="10"/>
        <w:spacing w:line="460" w:lineRule="exact"/>
        <w:ind w:firstLine="420" w:firstLineChars="200"/>
        <w:rPr>
          <w:rFonts w:ascii="Times New Roman" w:hAnsi="Times New Roman" w:cs="Times New Roman"/>
        </w:rPr>
      </w:pPr>
      <w:r>
        <w:rPr>
          <w:rFonts w:ascii="Times New Roman" w:hAnsi="Times New Roman" w:cs="Times New Roman"/>
        </w:rPr>
        <w:t>1、因履行本合同引起的或与本合同有关的争议，甲、乙双方应首先通过友好协商解决，如果协商不能解决争议，则采取以下第</w:t>
      </w:r>
      <w:r>
        <w:rPr>
          <w:rFonts w:hint="eastAsia" w:hAnsi="宋体" w:cs="宋体"/>
        </w:rPr>
        <w:t>②</w:t>
      </w:r>
      <w:r>
        <w:rPr>
          <w:rFonts w:ascii="Times New Roman" w:hAnsi="Times New Roman" w:cs="Times New Roman"/>
        </w:rPr>
        <w:t>种方式解决争议：</w:t>
      </w:r>
    </w:p>
    <w:p>
      <w:pPr>
        <w:pStyle w:val="10"/>
        <w:spacing w:line="460" w:lineRule="exact"/>
        <w:ind w:firstLine="420" w:firstLineChars="200"/>
        <w:rPr>
          <w:rFonts w:ascii="Times New Roman" w:hAnsi="Times New Roman" w:cs="Times New Roman"/>
        </w:rPr>
      </w:pPr>
      <w:r>
        <w:rPr>
          <w:rFonts w:hint="eastAsia" w:hAnsi="宋体" w:cs="宋体"/>
        </w:rPr>
        <w:t>①</w:t>
      </w:r>
      <w:r>
        <w:rPr>
          <w:rFonts w:ascii="Times New Roman" w:hAnsi="Times New Roman" w:cs="Times New Roman"/>
        </w:rPr>
        <w:t>向甲方所在地人民法院提起诉讼；</w:t>
      </w:r>
    </w:p>
    <w:p>
      <w:pPr>
        <w:pStyle w:val="10"/>
        <w:spacing w:line="460" w:lineRule="exact"/>
        <w:ind w:firstLine="420" w:firstLineChars="200"/>
        <w:rPr>
          <w:rFonts w:ascii="Times New Roman" w:hAnsi="Times New Roman" w:cs="Times New Roman"/>
        </w:rPr>
      </w:pPr>
      <w:r>
        <w:rPr>
          <w:rFonts w:hint="eastAsia" w:hAnsi="宋体" w:cs="宋体"/>
        </w:rPr>
        <w:t>②</w:t>
      </w:r>
      <w:r>
        <w:rPr>
          <w:rFonts w:ascii="Times New Roman" w:hAnsi="Times New Roman" w:cs="Times New Roman"/>
        </w:rPr>
        <w:t>向甲方所在地仲裁委员会即常州仲裁委员会按其仲裁规则申请仲裁。</w:t>
      </w:r>
    </w:p>
    <w:p>
      <w:pPr>
        <w:pStyle w:val="10"/>
        <w:spacing w:line="460" w:lineRule="exact"/>
        <w:ind w:firstLine="420" w:firstLineChars="200"/>
        <w:rPr>
          <w:rFonts w:ascii="Times New Roman" w:hAnsi="Times New Roman" w:cs="Times New Roman"/>
        </w:rPr>
      </w:pPr>
      <w:r>
        <w:rPr>
          <w:rFonts w:ascii="Times New Roman" w:hAnsi="Times New Roman" w:cs="Times New Roman"/>
        </w:rPr>
        <w:t>如没有约定，默认采取第</w:t>
      </w:r>
      <w:r>
        <w:rPr>
          <w:rFonts w:hint="eastAsia" w:hAnsi="宋体" w:cs="宋体"/>
        </w:rPr>
        <w:t>②</w:t>
      </w:r>
      <w:r>
        <w:rPr>
          <w:rFonts w:ascii="Times New Roman" w:hAnsi="Times New Roman" w:cs="Times New Roman"/>
        </w:rPr>
        <w:t>种方式解决争议。</w:t>
      </w:r>
    </w:p>
    <w:p>
      <w:pPr>
        <w:pStyle w:val="10"/>
        <w:spacing w:line="460" w:lineRule="exact"/>
        <w:ind w:firstLine="420" w:firstLineChars="200"/>
        <w:rPr>
          <w:rFonts w:ascii="Times New Roman" w:hAnsi="Times New Roman" w:cs="Times New Roman"/>
        </w:rPr>
      </w:pPr>
      <w:r>
        <w:rPr>
          <w:rFonts w:ascii="Times New Roman" w:hAnsi="Times New Roman" w:cs="Times New Roman"/>
        </w:rPr>
        <w:t>2、在法院审理和仲裁期间，除有争议部分外，本合同其他部分应继续履行。</w:t>
      </w:r>
    </w:p>
    <w:p>
      <w:pPr>
        <w:pStyle w:val="10"/>
        <w:spacing w:line="460" w:lineRule="exact"/>
        <w:ind w:firstLine="420" w:firstLineChars="200"/>
        <w:rPr>
          <w:rFonts w:ascii="Times New Roman" w:hAnsi="Times New Roman" w:cs="Times New Roman"/>
        </w:rPr>
      </w:pPr>
      <w:r>
        <w:rPr>
          <w:rFonts w:ascii="Times New Roman" w:hAnsi="Times New Roman" w:cs="Times New Roman"/>
        </w:rPr>
        <w:t>十、不可抗力</w:t>
      </w:r>
    </w:p>
    <w:p>
      <w:pPr>
        <w:pStyle w:val="10"/>
        <w:spacing w:line="460" w:lineRule="exact"/>
        <w:ind w:firstLine="420" w:firstLineChars="200"/>
        <w:rPr>
          <w:rFonts w:ascii="Times New Roman" w:hAnsi="Times New Roman" w:cs="Times New Roman"/>
        </w:rPr>
      </w:pPr>
      <w:r>
        <w:rPr>
          <w:rFonts w:ascii="Times New Roman" w:hAnsi="Times New Roman" w:cs="Times New Roman"/>
        </w:rPr>
        <w:t>1、不可抗力，是指不能预见、不能避免并不能克服的客观情况，如战争、动乱、瘟疫、 严重火灾、洪水、地震、风暴或其他自然灾害等。</w:t>
      </w:r>
    </w:p>
    <w:p>
      <w:pPr>
        <w:pStyle w:val="10"/>
        <w:spacing w:line="460" w:lineRule="exact"/>
        <w:ind w:firstLine="420" w:firstLineChars="200"/>
        <w:rPr>
          <w:rFonts w:ascii="Times New Roman" w:hAnsi="Times New Roman" w:cs="Times New Roman"/>
        </w:rPr>
      </w:pPr>
      <w:r>
        <w:rPr>
          <w:rFonts w:ascii="Times New Roman" w:hAnsi="Times New Roman" w:cs="Times New Roman"/>
        </w:rPr>
        <w:t>2、任何一方因不可抗力不能履行本合同规定的全部或部分义务，应尽快以书面形式将不可抗力的情况、原因及对履行本合同的影响等及时通知另一方。同时，遭受不可抗力影响的一方有义务尽可能及时采取适当或必要措施减少或消除不可抗力的影响，因未尽本义务而造成的相关损失由其承担。</w:t>
      </w:r>
    </w:p>
    <w:p>
      <w:pPr>
        <w:pStyle w:val="10"/>
        <w:spacing w:line="460" w:lineRule="exact"/>
        <w:ind w:firstLine="420" w:firstLineChars="200"/>
        <w:rPr>
          <w:rFonts w:ascii="Times New Roman" w:hAnsi="Times New Roman" w:cs="Times New Roman"/>
        </w:rPr>
      </w:pPr>
      <w:r>
        <w:rPr>
          <w:rFonts w:ascii="Times New Roman" w:hAnsi="Times New Roman" w:cs="Times New Roman"/>
        </w:rPr>
        <w:t>3、发生不可抗力事件，任何一方均不对因不可抗力无法履行或迟延履行本合同义务而使另一方蒙受的任何损失承担责任，法律另有规定的除外。</w:t>
      </w:r>
    </w:p>
    <w:p>
      <w:pPr>
        <w:pStyle w:val="10"/>
        <w:spacing w:line="460" w:lineRule="exact"/>
        <w:ind w:firstLine="420" w:firstLineChars="200"/>
        <w:rPr>
          <w:rFonts w:ascii="Times New Roman" w:hAnsi="Times New Roman" w:cs="Times New Roman"/>
        </w:rPr>
      </w:pPr>
      <w:r>
        <w:rPr>
          <w:rFonts w:ascii="Times New Roman" w:hAnsi="Times New Roman" w:cs="Times New Roman"/>
        </w:rPr>
        <w:t>4、合同各方应根据不可抗力对本合同履行的影响程度，协商确定是否终止本合同或是继续履行本合同。</w:t>
      </w:r>
    </w:p>
    <w:p>
      <w:pPr>
        <w:pStyle w:val="10"/>
        <w:spacing w:line="460" w:lineRule="exact"/>
        <w:ind w:firstLine="420" w:firstLineChars="200"/>
        <w:rPr>
          <w:rFonts w:ascii="Times New Roman" w:hAnsi="Times New Roman" w:cs="Times New Roman"/>
        </w:rPr>
      </w:pPr>
      <w:r>
        <w:rPr>
          <w:rFonts w:ascii="Times New Roman" w:hAnsi="Times New Roman" w:cs="Times New Roman"/>
        </w:rPr>
        <w:t>十一、其他（上述条款未尽事宜，如中介方的权利、义务、服务费及其支付方式、定金、财产抵押及担保等）</w:t>
      </w:r>
    </w:p>
    <w:p>
      <w:pPr>
        <w:pStyle w:val="10"/>
        <w:spacing w:line="460" w:lineRule="exact"/>
        <w:ind w:firstLine="420" w:firstLineChars="200"/>
        <w:rPr>
          <w:rFonts w:ascii="Times New Roman" w:hAnsi="Times New Roman" w:cs="Times New Roman"/>
        </w:rPr>
      </w:pPr>
      <w:r>
        <w:rPr>
          <w:rFonts w:ascii="Times New Roman" w:hAnsi="Times New Roman" w:cs="Times New Roman"/>
        </w:rPr>
        <w:t>1、本合同自经甲乙双方签订并加盖公章后，自签订之日起生效。</w:t>
      </w:r>
    </w:p>
    <w:p>
      <w:pPr>
        <w:pStyle w:val="10"/>
        <w:spacing w:line="460" w:lineRule="exact"/>
        <w:ind w:firstLine="420" w:firstLineChars="200"/>
        <w:rPr>
          <w:rFonts w:ascii="Times New Roman" w:hAnsi="Times New Roman" w:cs="Times New Roman"/>
        </w:rPr>
      </w:pPr>
      <w:r>
        <w:rPr>
          <w:rFonts w:ascii="Times New Roman" w:hAnsi="Times New Roman" w:cs="Times New Roman"/>
        </w:rPr>
        <w:t>2、乙方对项目信息及现场状况有保密责任，未经甲方同意，不得以任何方式提供给第三方，由此产生的后果均由乙方负责。本次合同约定的成果只有甲方享有使用权。</w:t>
      </w:r>
    </w:p>
    <w:p>
      <w:pPr>
        <w:pStyle w:val="10"/>
        <w:spacing w:line="460" w:lineRule="exact"/>
        <w:ind w:firstLine="420" w:firstLineChars="200"/>
        <w:rPr>
          <w:rFonts w:ascii="Times New Roman" w:hAnsi="Times New Roman" w:cs="Times New Roman"/>
        </w:rPr>
      </w:pPr>
      <w:r>
        <w:rPr>
          <w:rFonts w:ascii="Times New Roman" w:hAnsi="Times New Roman" w:cs="Times New Roman"/>
        </w:rPr>
        <w:t>3、本合同未尽事宜，双方协商解决。</w:t>
      </w:r>
    </w:p>
    <w:p>
      <w:pPr>
        <w:pStyle w:val="10"/>
        <w:spacing w:line="460" w:lineRule="exact"/>
        <w:ind w:firstLine="420" w:firstLineChars="200"/>
        <w:rPr>
          <w:rFonts w:ascii="Times New Roman" w:hAnsi="Times New Roman" w:cs="Times New Roman"/>
        </w:rPr>
      </w:pPr>
      <w:r>
        <w:rPr>
          <w:rFonts w:ascii="Times New Roman" w:hAnsi="Times New Roman" w:cs="Times New Roman"/>
        </w:rPr>
        <w:t>4、本合同应按照中华人民共和国的现行法律进行解释。</w:t>
      </w:r>
    </w:p>
    <w:p>
      <w:pPr>
        <w:pStyle w:val="10"/>
        <w:spacing w:line="460" w:lineRule="exact"/>
        <w:ind w:firstLine="420" w:firstLineChars="200"/>
        <w:rPr>
          <w:rFonts w:ascii="Times New Roman" w:hAnsi="Times New Roman" w:cs="Times New Roman"/>
        </w:rPr>
      </w:pPr>
      <w:r>
        <w:rPr>
          <w:rFonts w:ascii="Times New Roman" w:hAnsi="Times New Roman" w:cs="Times New Roman"/>
        </w:rPr>
        <w:t>5、本合同一式玖份，甲方持有肆份，乙方持有肆份，代理机构持有壹份。</w:t>
      </w:r>
    </w:p>
    <w:p>
      <w:pPr>
        <w:spacing w:line="460" w:lineRule="exact"/>
        <w:rPr>
          <w:b/>
          <w:bCs/>
          <w:szCs w:val="21"/>
        </w:rPr>
      </w:pPr>
      <w:r>
        <w:rPr>
          <w:b/>
          <w:bCs/>
          <w:szCs w:val="21"/>
        </w:rPr>
        <w:t>注：最终以甲乙双方签订的合同条款为准。</w:t>
      </w:r>
    </w:p>
    <w:p>
      <w:pPr>
        <w:pStyle w:val="10"/>
        <w:spacing w:line="440" w:lineRule="exact"/>
        <w:ind w:firstLine="420" w:firstLineChars="200"/>
        <w:rPr>
          <w:rFonts w:ascii="Times New Roman" w:hAnsi="Times New Roman" w:cs="Times New Roman"/>
        </w:rPr>
      </w:pPr>
    </w:p>
    <w:p>
      <w:pPr>
        <w:spacing w:line="440" w:lineRule="exact"/>
        <w:rPr>
          <w:color w:val="000000"/>
          <w:szCs w:val="21"/>
        </w:rPr>
      </w:pPr>
      <w:bookmarkStart w:id="7" w:name="_Toc16735_WPSOffice_Level2"/>
      <w:bookmarkStart w:id="8" w:name="_Toc7668_WPSOffice_Level2"/>
      <w:r>
        <w:rPr>
          <w:b/>
          <w:bCs/>
          <w:color w:val="000000"/>
          <w:szCs w:val="21"/>
        </w:rPr>
        <w:t>甲    方</w:t>
      </w:r>
      <w:r>
        <w:rPr>
          <w:color w:val="000000"/>
          <w:szCs w:val="21"/>
        </w:rPr>
        <w:t xml:space="preserve">：                               </w:t>
      </w:r>
      <w:r>
        <w:rPr>
          <w:b/>
          <w:bCs/>
          <w:color w:val="000000"/>
          <w:szCs w:val="21"/>
        </w:rPr>
        <w:t>乙    方</w:t>
      </w:r>
      <w:r>
        <w:rPr>
          <w:color w:val="000000"/>
          <w:szCs w:val="21"/>
        </w:rPr>
        <w:t>：</w:t>
      </w:r>
      <w:bookmarkEnd w:id="7"/>
      <w:bookmarkEnd w:id="8"/>
    </w:p>
    <w:p>
      <w:pPr>
        <w:spacing w:line="440" w:lineRule="exact"/>
        <w:rPr>
          <w:color w:val="000000"/>
          <w:szCs w:val="21"/>
          <w:u w:val="single"/>
        </w:rPr>
      </w:pPr>
      <w:r>
        <w:rPr>
          <w:color w:val="000000"/>
          <w:szCs w:val="21"/>
        </w:rPr>
        <w:t>单位名称（章）：                         单位名称（章）：</w:t>
      </w:r>
    </w:p>
    <w:p>
      <w:pPr>
        <w:spacing w:line="440" w:lineRule="exact"/>
        <w:rPr>
          <w:color w:val="000000"/>
          <w:szCs w:val="21"/>
        </w:rPr>
      </w:pPr>
      <w:r>
        <w:rPr>
          <w:color w:val="000000"/>
          <w:szCs w:val="21"/>
        </w:rPr>
        <w:t xml:space="preserve">单位地址：                               单位地址：                       </w:t>
      </w:r>
    </w:p>
    <w:p>
      <w:pPr>
        <w:spacing w:line="440" w:lineRule="exact"/>
        <w:rPr>
          <w:color w:val="000000"/>
          <w:szCs w:val="21"/>
        </w:rPr>
      </w:pPr>
      <w:r>
        <w:rPr>
          <w:color w:val="000000"/>
          <w:szCs w:val="21"/>
        </w:rPr>
        <w:t xml:space="preserve">法定代表人：       委托代理人：           法定代表人：      委托代理人：                            </w:t>
      </w:r>
    </w:p>
    <w:p>
      <w:pPr>
        <w:spacing w:line="440" w:lineRule="exact"/>
        <w:rPr>
          <w:color w:val="000000"/>
          <w:szCs w:val="21"/>
        </w:rPr>
      </w:pPr>
      <w:r>
        <w:rPr>
          <w:color w:val="000000"/>
          <w:szCs w:val="21"/>
        </w:rPr>
        <w:t>电话：                                   电话：            传真：</w:t>
      </w:r>
    </w:p>
    <w:p>
      <w:pPr>
        <w:spacing w:line="440" w:lineRule="exact"/>
        <w:rPr>
          <w:szCs w:val="21"/>
        </w:rPr>
      </w:pPr>
      <w:r>
        <w:rPr>
          <w:color w:val="000000"/>
          <w:szCs w:val="21"/>
        </w:rPr>
        <w:t xml:space="preserve">传真：                                   开户银行：        帐号：                   </w:t>
      </w:r>
      <w:r>
        <w:rPr>
          <w:szCs w:val="21"/>
        </w:rPr>
        <w:t xml:space="preserve">                                                                                </w:t>
      </w:r>
    </w:p>
    <w:p>
      <w:pPr>
        <w:spacing w:line="440" w:lineRule="exact"/>
        <w:rPr>
          <w:szCs w:val="21"/>
        </w:rPr>
      </w:pPr>
      <w:r>
        <w:rPr>
          <w:b/>
          <w:bCs/>
          <w:szCs w:val="21"/>
        </w:rPr>
        <w:t>代理机构</w:t>
      </w:r>
      <w:r>
        <w:rPr>
          <w:szCs w:val="21"/>
        </w:rPr>
        <w:t>：</w:t>
      </w:r>
    </w:p>
    <w:p>
      <w:pPr>
        <w:tabs>
          <w:tab w:val="left" w:pos="3780"/>
        </w:tabs>
        <w:spacing w:line="440" w:lineRule="exact"/>
        <w:rPr>
          <w:szCs w:val="21"/>
        </w:rPr>
      </w:pPr>
      <w:r>
        <w:rPr>
          <w:szCs w:val="21"/>
        </w:rPr>
        <w:t>单位名称（章）：</w:t>
      </w:r>
      <w:r>
        <w:rPr>
          <w:szCs w:val="21"/>
          <w:u w:val="single"/>
        </w:rPr>
        <w:t xml:space="preserve"> </w:t>
      </w:r>
      <w:r>
        <w:rPr>
          <w:b/>
          <w:bCs/>
          <w:szCs w:val="21"/>
          <w:u w:val="single"/>
        </w:rPr>
        <w:t>常州市恒卓建设工程管理咨询有限公司</w:t>
      </w:r>
      <w:r>
        <w:rPr>
          <w:szCs w:val="21"/>
          <w:u w:val="single"/>
        </w:rPr>
        <w:t xml:space="preserve"> </w:t>
      </w:r>
      <w:r>
        <w:rPr>
          <w:szCs w:val="21"/>
        </w:rPr>
        <w:t xml:space="preserve">    </w:t>
      </w:r>
    </w:p>
    <w:p>
      <w:pPr>
        <w:tabs>
          <w:tab w:val="left" w:pos="3780"/>
        </w:tabs>
        <w:spacing w:line="440" w:lineRule="exact"/>
        <w:rPr>
          <w:szCs w:val="21"/>
          <w:u w:val="single"/>
        </w:rPr>
      </w:pPr>
      <w:r>
        <w:rPr>
          <w:szCs w:val="21"/>
        </w:rPr>
        <w:t>单位地址：</w:t>
      </w:r>
      <w:r>
        <w:rPr>
          <w:b/>
          <w:bCs/>
          <w:szCs w:val="21"/>
          <w:u w:val="single"/>
        </w:rPr>
        <w:t>常州市北塘河路8号恒生科技园44-2栋（一号大门往北一百米）　</w:t>
      </w:r>
    </w:p>
    <w:p>
      <w:pPr>
        <w:spacing w:line="440" w:lineRule="exact"/>
        <w:rPr>
          <w:szCs w:val="21"/>
        </w:rPr>
      </w:pPr>
      <w:r>
        <w:rPr>
          <w:szCs w:val="21"/>
        </w:rPr>
        <w:t>法定代表人：                           委托代理人：</w:t>
      </w:r>
    </w:p>
    <w:p>
      <w:pPr>
        <w:spacing w:line="440" w:lineRule="exact"/>
        <w:rPr>
          <w:b/>
          <w:bCs/>
          <w:kern w:val="0"/>
          <w:szCs w:val="21"/>
        </w:rPr>
      </w:pPr>
      <w:r>
        <w:rPr>
          <w:szCs w:val="21"/>
        </w:rPr>
        <w:t>经办人：                               电  话：</w:t>
      </w:r>
    </w:p>
    <w:p>
      <w:pPr>
        <w:widowControl/>
        <w:snapToGrid w:val="0"/>
        <w:spacing w:line="480" w:lineRule="auto"/>
        <w:ind w:right="-153"/>
        <w:jc w:val="center"/>
        <w:rPr>
          <w:b/>
          <w:bCs/>
          <w:kern w:val="0"/>
          <w:sz w:val="30"/>
          <w:szCs w:val="30"/>
        </w:rPr>
      </w:pPr>
    </w:p>
    <w:p>
      <w:pPr>
        <w:widowControl/>
        <w:snapToGrid w:val="0"/>
        <w:spacing w:line="480" w:lineRule="auto"/>
        <w:ind w:right="-153"/>
        <w:jc w:val="center"/>
        <w:rPr>
          <w:b/>
          <w:bCs/>
          <w:kern w:val="0"/>
          <w:sz w:val="30"/>
          <w:szCs w:val="30"/>
        </w:rPr>
      </w:pPr>
    </w:p>
    <w:p>
      <w:pPr>
        <w:widowControl/>
        <w:snapToGrid w:val="0"/>
        <w:spacing w:line="480" w:lineRule="auto"/>
        <w:ind w:right="-153"/>
        <w:jc w:val="center"/>
        <w:rPr>
          <w:b/>
          <w:bCs/>
          <w:kern w:val="0"/>
          <w:sz w:val="30"/>
          <w:szCs w:val="30"/>
        </w:rPr>
      </w:pPr>
    </w:p>
    <w:p>
      <w:pPr>
        <w:widowControl/>
        <w:snapToGrid w:val="0"/>
        <w:spacing w:line="480" w:lineRule="auto"/>
        <w:ind w:right="-153"/>
        <w:jc w:val="center"/>
        <w:rPr>
          <w:b/>
          <w:bCs/>
          <w:kern w:val="0"/>
          <w:sz w:val="30"/>
          <w:szCs w:val="30"/>
        </w:rPr>
      </w:pPr>
    </w:p>
    <w:p>
      <w:pPr>
        <w:widowControl/>
        <w:snapToGrid w:val="0"/>
        <w:spacing w:line="480" w:lineRule="auto"/>
        <w:ind w:right="-153"/>
        <w:jc w:val="center"/>
        <w:rPr>
          <w:b/>
          <w:bCs/>
          <w:kern w:val="0"/>
          <w:sz w:val="30"/>
          <w:szCs w:val="30"/>
        </w:rPr>
      </w:pPr>
    </w:p>
    <w:p>
      <w:pPr>
        <w:widowControl/>
        <w:snapToGrid w:val="0"/>
        <w:spacing w:line="480" w:lineRule="auto"/>
        <w:ind w:right="-153"/>
        <w:jc w:val="center"/>
        <w:rPr>
          <w:b/>
          <w:bCs/>
          <w:kern w:val="0"/>
          <w:sz w:val="30"/>
          <w:szCs w:val="30"/>
        </w:rPr>
      </w:pPr>
    </w:p>
    <w:p>
      <w:pPr>
        <w:widowControl/>
        <w:snapToGrid w:val="0"/>
        <w:spacing w:line="480" w:lineRule="auto"/>
        <w:ind w:right="-153"/>
        <w:jc w:val="center"/>
        <w:rPr>
          <w:b/>
          <w:bCs/>
          <w:kern w:val="0"/>
          <w:sz w:val="30"/>
          <w:szCs w:val="30"/>
        </w:rPr>
      </w:pPr>
    </w:p>
    <w:p>
      <w:pPr>
        <w:widowControl/>
        <w:snapToGrid w:val="0"/>
        <w:spacing w:line="480" w:lineRule="auto"/>
        <w:ind w:right="-153"/>
        <w:jc w:val="center"/>
        <w:rPr>
          <w:b/>
          <w:bCs/>
          <w:kern w:val="0"/>
          <w:sz w:val="30"/>
          <w:szCs w:val="30"/>
        </w:rPr>
      </w:pPr>
    </w:p>
    <w:p>
      <w:pPr>
        <w:widowControl/>
        <w:snapToGrid w:val="0"/>
        <w:spacing w:line="480" w:lineRule="auto"/>
        <w:ind w:right="-153"/>
        <w:jc w:val="center"/>
        <w:rPr>
          <w:kern w:val="0"/>
          <w:szCs w:val="21"/>
        </w:rPr>
      </w:pPr>
      <w:r>
        <w:rPr>
          <w:b/>
          <w:bCs/>
          <w:kern w:val="0"/>
          <w:sz w:val="30"/>
          <w:szCs w:val="30"/>
        </w:rPr>
        <w:t>附件</w:t>
      </w:r>
      <w:r>
        <w:rPr>
          <w:b/>
          <w:bCs/>
          <w:kern w:val="0"/>
          <w:sz w:val="30"/>
          <w:szCs w:val="30"/>
          <w:lang w:val="zh-CN"/>
        </w:rPr>
        <w:t>（格式）</w:t>
      </w:r>
    </w:p>
    <w:p>
      <w:pPr>
        <w:pStyle w:val="60"/>
        <w:spacing w:line="360" w:lineRule="exact"/>
        <w:rPr>
          <w:rFonts w:ascii="Times New Roman" w:hAnsi="Times New Roman"/>
          <w:b/>
          <w:color w:val="000000"/>
          <w:sz w:val="32"/>
        </w:rPr>
      </w:pPr>
      <w:bookmarkStart w:id="9" w:name="_Toc331056449"/>
      <w:bookmarkStart w:id="10" w:name="_Toc322436002"/>
      <w:bookmarkStart w:id="11" w:name="_Toc330998561"/>
      <w:bookmarkStart w:id="12" w:name="_Toc322436237"/>
      <w:bookmarkStart w:id="13" w:name="_Toc331061670"/>
      <w:bookmarkStart w:id="14" w:name="_Toc322436057"/>
      <w:bookmarkStart w:id="15" w:name="_Toc322435832"/>
      <w:r>
        <w:rPr>
          <w:rFonts w:ascii="Times New Roman" w:hAnsi="Times New Roman"/>
          <w:b/>
          <w:color w:val="000000"/>
          <w:sz w:val="28"/>
          <w:szCs w:val="28"/>
        </w:rPr>
        <w:t>附件1、投标函</w:t>
      </w:r>
      <w:r>
        <w:rPr>
          <w:rFonts w:ascii="Times New Roman" w:hAnsi="Times New Roman"/>
          <w:b/>
          <w:color w:val="000000"/>
          <w:sz w:val="32"/>
        </w:rPr>
        <w:t xml:space="preserve"> </w:t>
      </w:r>
    </w:p>
    <w:p>
      <w:pPr>
        <w:pStyle w:val="18"/>
      </w:pPr>
    </w:p>
    <w:p>
      <w:pPr>
        <w:pStyle w:val="60"/>
        <w:spacing w:line="360" w:lineRule="exact"/>
        <w:jc w:val="center"/>
        <w:rPr>
          <w:rFonts w:ascii="Times New Roman" w:hAnsi="Times New Roman"/>
          <w:b/>
          <w:color w:val="000000"/>
          <w:sz w:val="32"/>
        </w:rPr>
      </w:pPr>
      <w:r>
        <w:rPr>
          <w:rFonts w:ascii="Times New Roman" w:hAnsi="Times New Roman"/>
          <w:b/>
          <w:color w:val="000000"/>
          <w:sz w:val="32"/>
        </w:rPr>
        <w:t>投  标  函</w:t>
      </w:r>
    </w:p>
    <w:p>
      <w:pPr>
        <w:pStyle w:val="60"/>
        <w:spacing w:line="360" w:lineRule="exact"/>
        <w:rPr>
          <w:rFonts w:ascii="Times New Roman" w:hAnsi="Times New Roman"/>
          <w:color w:val="000000"/>
          <w:sz w:val="21"/>
          <w:szCs w:val="21"/>
        </w:rPr>
      </w:pPr>
      <w:r>
        <w:rPr>
          <w:rFonts w:ascii="Times New Roman" w:hAnsi="Times New Roman"/>
          <w:color w:val="000000"/>
          <w:sz w:val="21"/>
          <w:szCs w:val="21"/>
          <w:u w:val="single"/>
        </w:rPr>
        <w:t xml:space="preserve">常州市恒卓建设工程管理咨询有限公司 </w:t>
      </w:r>
      <w:r>
        <w:rPr>
          <w:rFonts w:ascii="Times New Roman" w:hAnsi="Times New Roman"/>
          <w:color w:val="000000"/>
          <w:sz w:val="21"/>
          <w:szCs w:val="21"/>
        </w:rPr>
        <w:t>：</w:t>
      </w:r>
    </w:p>
    <w:p>
      <w:pPr>
        <w:pStyle w:val="60"/>
        <w:spacing w:line="360" w:lineRule="exact"/>
        <w:rPr>
          <w:rFonts w:ascii="Times New Roman" w:hAnsi="Times New Roman"/>
          <w:color w:val="000000"/>
          <w:sz w:val="21"/>
          <w:szCs w:val="21"/>
        </w:rPr>
      </w:pPr>
      <w:r>
        <w:rPr>
          <w:rFonts w:ascii="Times New Roman" w:hAnsi="Times New Roman"/>
          <w:color w:val="000000"/>
          <w:sz w:val="21"/>
          <w:szCs w:val="21"/>
        </w:rPr>
        <w:t xml:space="preserve">    我们收到贵公司 </w:t>
      </w:r>
      <w:r>
        <w:rPr>
          <w:rFonts w:ascii="Times New Roman" w:hAnsi="Times New Roman"/>
          <w:color w:val="000000"/>
          <w:sz w:val="21"/>
          <w:szCs w:val="21"/>
          <w:u w:val="single"/>
        </w:rPr>
        <w:t xml:space="preserve">             </w:t>
      </w:r>
      <w:r>
        <w:rPr>
          <w:rFonts w:ascii="Times New Roman" w:hAnsi="Times New Roman"/>
          <w:color w:val="000000"/>
          <w:sz w:val="21"/>
          <w:szCs w:val="21"/>
        </w:rPr>
        <w:t>号招标文件，经仔细阅读和研究，我们决定参加本项目的招标活动并投标。为此，我方郑重声明以下诸点，并负法律责任。</w:t>
      </w:r>
    </w:p>
    <w:p>
      <w:pPr>
        <w:pStyle w:val="60"/>
        <w:spacing w:line="360" w:lineRule="exact"/>
        <w:ind w:firstLine="420" w:firstLineChars="200"/>
        <w:rPr>
          <w:rFonts w:ascii="Times New Roman" w:hAnsi="Times New Roman"/>
          <w:color w:val="000000"/>
          <w:sz w:val="21"/>
          <w:szCs w:val="21"/>
        </w:rPr>
      </w:pPr>
      <w:r>
        <w:rPr>
          <w:rFonts w:ascii="Times New Roman" w:hAnsi="Times New Roman"/>
          <w:color w:val="000000"/>
          <w:sz w:val="21"/>
          <w:szCs w:val="21"/>
        </w:rPr>
        <w:t>1.我们愿意按照招标文件的一切要求，提供完成该项目的全部内容，</w:t>
      </w:r>
      <w:r>
        <w:rPr>
          <w:rFonts w:ascii="Times New Roman" w:hAnsi="Times New Roman"/>
          <w:sz w:val="21"/>
          <w:szCs w:val="21"/>
        </w:rPr>
        <w:t>我们的报价包括货物、制造、加工、运输、卸货至现场基础上、人工、机械、保险、劳保、各种税费以及质保期间的一切费用</w:t>
      </w:r>
      <w:r>
        <w:rPr>
          <w:rFonts w:ascii="Times New Roman" w:hAnsi="Times New Roman"/>
          <w:color w:val="000000"/>
          <w:sz w:val="21"/>
          <w:szCs w:val="21"/>
        </w:rPr>
        <w:t>。</w:t>
      </w:r>
    </w:p>
    <w:p>
      <w:pPr>
        <w:pStyle w:val="60"/>
        <w:spacing w:line="360" w:lineRule="exact"/>
        <w:ind w:firstLine="420" w:firstLineChars="200"/>
        <w:rPr>
          <w:rFonts w:ascii="Times New Roman" w:hAnsi="Times New Roman"/>
          <w:color w:val="000000"/>
          <w:sz w:val="21"/>
          <w:szCs w:val="21"/>
        </w:rPr>
      </w:pPr>
      <w:r>
        <w:rPr>
          <w:rFonts w:ascii="Times New Roman" w:hAnsi="Times New Roman"/>
          <w:color w:val="000000"/>
          <w:sz w:val="21"/>
          <w:szCs w:val="21"/>
        </w:rPr>
        <w:t>2.如果我们的投标文件被接受，我们将严格履行招标文件中规定的每一项要求，按期、按质、按量履行合同的义务。</w:t>
      </w:r>
    </w:p>
    <w:p>
      <w:pPr>
        <w:pStyle w:val="60"/>
        <w:spacing w:line="360" w:lineRule="exact"/>
        <w:ind w:firstLine="420" w:firstLineChars="200"/>
        <w:rPr>
          <w:rFonts w:ascii="Times New Roman" w:hAnsi="Times New Roman"/>
          <w:color w:val="000000"/>
          <w:sz w:val="21"/>
          <w:szCs w:val="21"/>
        </w:rPr>
      </w:pPr>
      <w:r>
        <w:rPr>
          <w:rFonts w:ascii="Times New Roman" w:hAnsi="Times New Roman"/>
          <w:color w:val="000000"/>
          <w:sz w:val="21"/>
          <w:szCs w:val="21"/>
        </w:rPr>
        <w:t>3.我们已详细审查全部招标文件，包括补充文件(如果有的话)。我们完全理解并同意招标文件的所有规定，并放弃对这方面有不明及误解的权利。</w:t>
      </w:r>
    </w:p>
    <w:p>
      <w:pPr>
        <w:pStyle w:val="60"/>
        <w:spacing w:line="360" w:lineRule="exact"/>
        <w:rPr>
          <w:rFonts w:ascii="Times New Roman" w:hAnsi="Times New Roman"/>
          <w:color w:val="000000"/>
          <w:sz w:val="21"/>
          <w:szCs w:val="21"/>
        </w:rPr>
      </w:pPr>
      <w:r>
        <w:rPr>
          <w:rFonts w:ascii="Times New Roman" w:hAnsi="Times New Roman"/>
          <w:color w:val="000000"/>
          <w:sz w:val="21"/>
          <w:szCs w:val="21"/>
        </w:rPr>
        <w:t xml:space="preserve">    4.我们同意按招标文件中的规定，本投标文件的有效期限为投标开始后</w:t>
      </w:r>
      <w:r>
        <w:rPr>
          <w:rFonts w:ascii="Times New Roman" w:hAnsi="Times New Roman"/>
          <w:color w:val="000000"/>
          <w:sz w:val="21"/>
          <w:szCs w:val="21"/>
          <w:u w:val="single"/>
        </w:rPr>
        <w:t>120</w:t>
      </w:r>
      <w:r>
        <w:rPr>
          <w:rFonts w:ascii="Times New Roman" w:hAnsi="Times New Roman"/>
          <w:color w:val="000000"/>
          <w:sz w:val="21"/>
          <w:szCs w:val="21"/>
        </w:rPr>
        <w:t>天。</w:t>
      </w:r>
    </w:p>
    <w:p>
      <w:pPr>
        <w:pStyle w:val="60"/>
        <w:spacing w:line="360" w:lineRule="exact"/>
        <w:rPr>
          <w:rFonts w:ascii="Times New Roman" w:hAnsi="Times New Roman"/>
          <w:color w:val="000000"/>
          <w:sz w:val="21"/>
          <w:szCs w:val="21"/>
        </w:rPr>
      </w:pPr>
      <w:r>
        <w:rPr>
          <w:rFonts w:ascii="Times New Roman" w:hAnsi="Times New Roman"/>
          <w:color w:val="000000"/>
          <w:sz w:val="21"/>
          <w:szCs w:val="21"/>
        </w:rPr>
        <w:t xml:space="preserve">    5.我们愿意提供代理机构在招标文件中要求的所有资料。</w:t>
      </w:r>
    </w:p>
    <w:p>
      <w:pPr>
        <w:pStyle w:val="60"/>
        <w:spacing w:line="360" w:lineRule="exact"/>
        <w:rPr>
          <w:rFonts w:ascii="Times New Roman" w:hAnsi="Times New Roman"/>
          <w:color w:val="000000"/>
          <w:sz w:val="21"/>
          <w:szCs w:val="21"/>
        </w:rPr>
      </w:pPr>
      <w:r>
        <w:rPr>
          <w:rFonts w:ascii="Times New Roman" w:hAnsi="Times New Roman"/>
          <w:color w:val="000000"/>
          <w:sz w:val="21"/>
          <w:szCs w:val="21"/>
        </w:rPr>
        <w:t xml:space="preserve">    6.我们认为你们有权决定中标单位，还认为你们有权接受或拒绝所有的投标单位。</w:t>
      </w:r>
    </w:p>
    <w:p>
      <w:pPr>
        <w:pStyle w:val="60"/>
        <w:spacing w:line="360" w:lineRule="exact"/>
        <w:rPr>
          <w:rFonts w:ascii="Times New Roman" w:hAnsi="Times New Roman"/>
          <w:color w:val="000000"/>
          <w:sz w:val="21"/>
          <w:szCs w:val="21"/>
        </w:rPr>
      </w:pPr>
      <w:r>
        <w:rPr>
          <w:rFonts w:ascii="Times New Roman" w:hAnsi="Times New Roman"/>
          <w:color w:val="000000"/>
          <w:sz w:val="21"/>
          <w:szCs w:val="21"/>
        </w:rPr>
        <w:t xml:space="preserve">    7.我们愿意遵守招标标文件中所列的收费标准。</w:t>
      </w:r>
    </w:p>
    <w:p>
      <w:pPr>
        <w:pStyle w:val="60"/>
        <w:spacing w:line="360" w:lineRule="exact"/>
        <w:rPr>
          <w:rFonts w:ascii="Times New Roman" w:hAnsi="Times New Roman"/>
          <w:color w:val="000000"/>
          <w:sz w:val="21"/>
          <w:szCs w:val="21"/>
        </w:rPr>
      </w:pPr>
      <w:r>
        <w:rPr>
          <w:rFonts w:ascii="Times New Roman" w:hAnsi="Times New Roman"/>
          <w:color w:val="000000"/>
          <w:sz w:val="21"/>
          <w:szCs w:val="21"/>
        </w:rPr>
        <w:t xml:space="preserve">    8.我们承诺该投标文件在投标开始后的全过程中保持有效，不作任何更改和变动。</w:t>
      </w:r>
    </w:p>
    <w:p>
      <w:pPr>
        <w:pStyle w:val="60"/>
        <w:spacing w:line="360" w:lineRule="exact"/>
        <w:ind w:firstLine="480"/>
        <w:rPr>
          <w:rFonts w:ascii="Times New Roman" w:hAnsi="Times New Roman"/>
          <w:color w:val="000000"/>
          <w:sz w:val="21"/>
          <w:szCs w:val="21"/>
        </w:rPr>
      </w:pPr>
      <w:r>
        <w:rPr>
          <w:rFonts w:ascii="Times New Roman" w:hAnsi="Times New Roman"/>
          <w:color w:val="000000"/>
          <w:sz w:val="21"/>
          <w:szCs w:val="21"/>
        </w:rPr>
        <w:t>9.我们愿意按招标文件的规定交纳投标保证金，并同意投标单位须知中关于投标保证金不予退还的规定。</w:t>
      </w:r>
    </w:p>
    <w:p>
      <w:pPr>
        <w:pStyle w:val="60"/>
        <w:spacing w:line="360" w:lineRule="exact"/>
        <w:ind w:firstLine="480"/>
        <w:rPr>
          <w:rFonts w:ascii="Times New Roman" w:hAnsi="Times New Roman"/>
          <w:color w:val="000000"/>
          <w:sz w:val="21"/>
          <w:szCs w:val="21"/>
        </w:rPr>
      </w:pPr>
      <w:r>
        <w:rPr>
          <w:rFonts w:ascii="Times New Roman" w:hAnsi="Times New Roman"/>
          <w:color w:val="000000"/>
          <w:sz w:val="21"/>
          <w:szCs w:val="21"/>
        </w:rPr>
        <w:t>10.如果我们中标，我们愿意在签订合同时支付履约保证金，并按招标文件的规定支付中标服务费。</w:t>
      </w:r>
    </w:p>
    <w:p>
      <w:pPr>
        <w:pStyle w:val="61"/>
        <w:spacing w:line="360" w:lineRule="exact"/>
        <w:ind w:firstLine="401" w:firstLineChars="191"/>
        <w:rPr>
          <w:rFonts w:ascii="Times New Roman" w:hAnsi="Times New Roman" w:eastAsia="宋体"/>
          <w:color w:val="000000"/>
          <w:sz w:val="21"/>
          <w:szCs w:val="21"/>
        </w:rPr>
      </w:pPr>
      <w:r>
        <w:rPr>
          <w:rFonts w:ascii="Times New Roman" w:hAnsi="Times New Roman" w:eastAsia="宋体"/>
          <w:color w:val="000000"/>
          <w:sz w:val="21"/>
          <w:szCs w:val="21"/>
        </w:rPr>
        <w:t>11. 经我单位研究招标文件后，愿以人民币（含税）</w:t>
      </w:r>
      <w:r>
        <w:rPr>
          <w:rFonts w:ascii="Times New Roman" w:hAnsi="Times New Roman" w:eastAsia="宋体"/>
          <w:color w:val="000000"/>
          <w:sz w:val="21"/>
          <w:szCs w:val="21"/>
          <w:u w:val="single"/>
        </w:rPr>
        <w:t xml:space="preserve">       元 </w:t>
      </w:r>
      <w:r>
        <w:rPr>
          <w:rFonts w:ascii="Times New Roman" w:hAnsi="Times New Roman" w:eastAsia="宋体"/>
          <w:color w:val="000000"/>
          <w:sz w:val="21"/>
          <w:szCs w:val="21"/>
        </w:rPr>
        <w:t>（小写：</w:t>
      </w:r>
      <w:r>
        <w:rPr>
          <w:rFonts w:ascii="Times New Roman" w:hAnsi="Times New Roman" w:eastAsia="宋体"/>
          <w:color w:val="000000"/>
          <w:sz w:val="21"/>
          <w:szCs w:val="21"/>
          <w:u w:val="single"/>
        </w:rPr>
        <w:t xml:space="preserve">      元 </w:t>
      </w:r>
      <w:r>
        <w:rPr>
          <w:rFonts w:ascii="Times New Roman" w:hAnsi="Times New Roman" w:eastAsia="宋体"/>
          <w:color w:val="000000"/>
          <w:sz w:val="21"/>
          <w:szCs w:val="21"/>
        </w:rPr>
        <w:t>）报价，按招标文件要求承包本次招标范围内的全部工程。</w:t>
      </w:r>
    </w:p>
    <w:p>
      <w:pPr>
        <w:pStyle w:val="60"/>
        <w:spacing w:line="360" w:lineRule="exact"/>
        <w:rPr>
          <w:rFonts w:ascii="Times New Roman" w:hAnsi="Times New Roman"/>
          <w:sz w:val="21"/>
          <w:szCs w:val="21"/>
        </w:rPr>
      </w:pPr>
    </w:p>
    <w:p>
      <w:pPr>
        <w:pStyle w:val="60"/>
        <w:spacing w:line="360" w:lineRule="exact"/>
        <w:ind w:firstLine="405"/>
        <w:rPr>
          <w:rFonts w:ascii="Times New Roman" w:hAnsi="Times New Roman"/>
          <w:color w:val="000000"/>
          <w:sz w:val="21"/>
          <w:szCs w:val="21"/>
        </w:rPr>
      </w:pPr>
      <w:r>
        <w:rPr>
          <w:rFonts w:ascii="Times New Roman" w:hAnsi="Times New Roman"/>
          <w:color w:val="000000"/>
          <w:sz w:val="21"/>
          <w:szCs w:val="21"/>
        </w:rPr>
        <w:t>所有有关投标文件的函电，请按下列地址联系：</w:t>
      </w:r>
    </w:p>
    <w:p>
      <w:pPr>
        <w:pStyle w:val="18"/>
        <w:ind w:left="0" w:firstLine="405"/>
      </w:pPr>
    </w:p>
    <w:p>
      <w:pPr>
        <w:pStyle w:val="60"/>
        <w:spacing w:line="360" w:lineRule="exact"/>
        <w:rPr>
          <w:rFonts w:ascii="Times New Roman" w:hAnsi="Times New Roman"/>
          <w:color w:val="000000"/>
          <w:sz w:val="21"/>
          <w:szCs w:val="21"/>
        </w:rPr>
      </w:pPr>
      <w:r>
        <w:rPr>
          <w:rFonts w:ascii="Times New Roman" w:hAnsi="Times New Roman"/>
          <w:color w:val="000000"/>
          <w:sz w:val="21"/>
          <w:szCs w:val="21"/>
        </w:rPr>
        <w:t>投标单位：</w:t>
      </w:r>
    </w:p>
    <w:p>
      <w:pPr>
        <w:pStyle w:val="60"/>
        <w:spacing w:line="360" w:lineRule="exact"/>
        <w:rPr>
          <w:rFonts w:ascii="Times New Roman" w:hAnsi="Times New Roman"/>
          <w:color w:val="000000"/>
          <w:sz w:val="21"/>
          <w:szCs w:val="21"/>
        </w:rPr>
      </w:pPr>
      <w:r>
        <w:rPr>
          <w:rFonts w:ascii="Times New Roman" w:hAnsi="Times New Roman"/>
          <w:color w:val="000000"/>
          <w:sz w:val="21"/>
          <w:szCs w:val="21"/>
        </w:rPr>
        <w:t>联系人：</w:t>
      </w:r>
    </w:p>
    <w:p>
      <w:pPr>
        <w:pStyle w:val="60"/>
        <w:spacing w:line="360" w:lineRule="exact"/>
        <w:rPr>
          <w:rFonts w:ascii="Times New Roman" w:hAnsi="Times New Roman"/>
          <w:color w:val="000000"/>
          <w:sz w:val="21"/>
          <w:szCs w:val="21"/>
        </w:rPr>
      </w:pPr>
      <w:r>
        <w:rPr>
          <w:rFonts w:ascii="Times New Roman" w:hAnsi="Times New Roman"/>
          <w:color w:val="000000"/>
          <w:sz w:val="21"/>
          <w:szCs w:val="21"/>
        </w:rPr>
        <w:t>地址：                                      邮政编码：</w:t>
      </w:r>
    </w:p>
    <w:p>
      <w:pPr>
        <w:pStyle w:val="60"/>
        <w:spacing w:line="360" w:lineRule="exact"/>
        <w:rPr>
          <w:rFonts w:ascii="Times New Roman" w:hAnsi="Times New Roman"/>
          <w:color w:val="000000"/>
          <w:sz w:val="21"/>
          <w:szCs w:val="21"/>
        </w:rPr>
      </w:pPr>
      <w:r>
        <w:rPr>
          <w:rFonts w:ascii="Times New Roman" w:hAnsi="Times New Roman"/>
          <w:color w:val="000000"/>
          <w:sz w:val="21"/>
          <w:szCs w:val="21"/>
        </w:rPr>
        <w:t>联系电话：                                  传真：</w:t>
      </w:r>
    </w:p>
    <w:p>
      <w:pPr>
        <w:pStyle w:val="60"/>
        <w:spacing w:line="360" w:lineRule="exact"/>
        <w:ind w:left="3400" w:firstLine="525" w:firstLineChars="250"/>
        <w:rPr>
          <w:rFonts w:ascii="Times New Roman" w:hAnsi="Times New Roman"/>
          <w:color w:val="000000"/>
          <w:sz w:val="21"/>
          <w:szCs w:val="21"/>
        </w:rPr>
      </w:pPr>
      <w:r>
        <w:rPr>
          <w:rFonts w:ascii="Times New Roman" w:hAnsi="Times New Roman"/>
          <w:color w:val="000000"/>
          <w:sz w:val="21"/>
          <w:szCs w:val="21"/>
        </w:rPr>
        <w:t>投标单位（盖章）：</w:t>
      </w:r>
    </w:p>
    <w:p>
      <w:pPr>
        <w:pStyle w:val="60"/>
        <w:spacing w:line="360" w:lineRule="exact"/>
        <w:ind w:left="3825" w:firstLine="105" w:firstLineChars="50"/>
        <w:rPr>
          <w:rFonts w:ascii="Times New Roman" w:hAnsi="Times New Roman"/>
          <w:color w:val="000000"/>
          <w:sz w:val="21"/>
          <w:szCs w:val="21"/>
        </w:rPr>
      </w:pPr>
      <w:r>
        <w:rPr>
          <w:rFonts w:ascii="Times New Roman" w:hAnsi="Times New Roman"/>
          <w:color w:val="000000"/>
          <w:sz w:val="21"/>
          <w:szCs w:val="21"/>
        </w:rPr>
        <w:t>法定代表人或代理人（签字或盖章）：</w:t>
      </w:r>
    </w:p>
    <w:p>
      <w:pPr>
        <w:pStyle w:val="60"/>
        <w:spacing w:line="360" w:lineRule="exact"/>
        <w:ind w:firstLine="4620"/>
        <w:rPr>
          <w:rFonts w:ascii="Times New Roman" w:hAnsi="Times New Roman"/>
          <w:color w:val="000000"/>
          <w:sz w:val="21"/>
          <w:szCs w:val="21"/>
        </w:rPr>
      </w:pPr>
      <w:r>
        <w:rPr>
          <w:rFonts w:ascii="Times New Roman" w:hAnsi="Times New Roman"/>
          <w:color w:val="000000"/>
          <w:sz w:val="21"/>
          <w:szCs w:val="21"/>
        </w:rPr>
        <w:t>年     月     日</w:t>
      </w:r>
    </w:p>
    <w:p>
      <w:pPr>
        <w:pStyle w:val="18"/>
      </w:pPr>
    </w:p>
    <w:bookmarkEnd w:id="9"/>
    <w:bookmarkEnd w:id="10"/>
    <w:bookmarkEnd w:id="11"/>
    <w:bookmarkEnd w:id="12"/>
    <w:bookmarkEnd w:id="13"/>
    <w:bookmarkEnd w:id="14"/>
    <w:bookmarkEnd w:id="15"/>
    <w:p>
      <w:pPr>
        <w:pStyle w:val="10"/>
        <w:snapToGrid w:val="0"/>
        <w:spacing w:line="360" w:lineRule="auto"/>
        <w:ind w:firstLine="482"/>
        <w:rPr>
          <w:rFonts w:ascii="Times New Roman" w:hAnsi="Times New Roman" w:cs="Times New Roman"/>
        </w:rPr>
      </w:pPr>
    </w:p>
    <w:p>
      <w:pPr>
        <w:pStyle w:val="58"/>
        <w:spacing w:line="360" w:lineRule="exact"/>
        <w:outlineLvl w:val="1"/>
        <w:rPr>
          <w:rFonts w:ascii="Times New Roman" w:hAnsi="Times New Roman"/>
          <w:b/>
          <w:sz w:val="28"/>
          <w:szCs w:val="28"/>
        </w:rPr>
      </w:pPr>
      <w:r>
        <w:rPr>
          <w:rFonts w:ascii="Times New Roman" w:hAnsi="Times New Roman"/>
          <w:kern w:val="0"/>
          <w:szCs w:val="21"/>
        </w:rPr>
        <w:br w:type="page"/>
      </w:r>
      <w:bookmarkStart w:id="16" w:name="_Toc331061671"/>
      <w:bookmarkStart w:id="17" w:name="_Toc330998562"/>
      <w:bookmarkStart w:id="18" w:name="_Toc322436238"/>
      <w:bookmarkStart w:id="19" w:name="_Toc331056450"/>
      <w:bookmarkStart w:id="20" w:name="_Toc322436003"/>
      <w:bookmarkStart w:id="21" w:name="_Toc322435833"/>
      <w:bookmarkStart w:id="22" w:name="_Toc322436058"/>
      <w:r>
        <w:rPr>
          <w:rFonts w:ascii="Times New Roman" w:hAnsi="Times New Roman"/>
          <w:b/>
          <w:sz w:val="28"/>
          <w:szCs w:val="28"/>
        </w:rPr>
        <w:t>附件二</w:t>
      </w:r>
      <w:r>
        <w:rPr>
          <w:rFonts w:ascii="Times New Roman" w:hAnsi="Times New Roman"/>
          <w:sz w:val="28"/>
          <w:szCs w:val="28"/>
        </w:rPr>
        <w:t>：</w:t>
      </w:r>
      <w:bookmarkEnd w:id="16"/>
      <w:bookmarkEnd w:id="17"/>
      <w:bookmarkEnd w:id="18"/>
      <w:bookmarkEnd w:id="19"/>
      <w:bookmarkEnd w:id="20"/>
      <w:bookmarkEnd w:id="21"/>
      <w:bookmarkEnd w:id="22"/>
      <w:r>
        <w:rPr>
          <w:rFonts w:ascii="Times New Roman" w:hAnsi="Times New Roman"/>
          <w:b/>
          <w:sz w:val="28"/>
          <w:szCs w:val="28"/>
        </w:rPr>
        <w:t>法定代表人资格证明书及授权委托书</w:t>
      </w:r>
    </w:p>
    <w:p/>
    <w:p>
      <w:pPr>
        <w:spacing w:line="360" w:lineRule="auto"/>
        <w:jc w:val="center"/>
        <w:rPr>
          <w:b/>
          <w:sz w:val="32"/>
          <w:szCs w:val="32"/>
        </w:rPr>
      </w:pPr>
      <w:bookmarkStart w:id="23" w:name="_Toc18209_WPSOffice_Level1"/>
      <w:r>
        <w:rPr>
          <w:b/>
          <w:sz w:val="28"/>
          <w:szCs w:val="28"/>
        </w:rPr>
        <w:t>法定代表人资格证明书</w:t>
      </w:r>
      <w:bookmarkEnd w:id="23"/>
    </w:p>
    <w:tbl>
      <w:tblPr>
        <w:tblStyle w:val="22"/>
        <w:tblpPr w:leftFromText="180" w:rightFromText="180" w:vertAnchor="text" w:horzAnchor="page" w:tblpX="1801" w:tblpY="323"/>
        <w:tblOverlap w:val="never"/>
        <w:tblW w:w="83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2229"/>
        <w:gridCol w:w="1189"/>
        <w:gridCol w:w="1232"/>
        <w:gridCol w:w="847"/>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sz w:val="24"/>
              </w:rPr>
            </w:pPr>
            <w:r>
              <w:rPr>
                <w:sz w:val="24"/>
              </w:rPr>
              <w:t>单位名称</w:t>
            </w:r>
          </w:p>
        </w:tc>
        <w:tc>
          <w:tcPr>
            <w:tcW w:w="6903" w:type="dxa"/>
            <w:gridSpan w:val="5"/>
            <w:vAlign w:val="center"/>
          </w:tcPr>
          <w:p>
            <w:pPr>
              <w:spacing w:line="360" w:lineRule="auto"/>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sz w:val="24"/>
              </w:rPr>
            </w:pPr>
            <w:r>
              <w:rPr>
                <w:sz w:val="24"/>
              </w:rPr>
              <w:t>注册地址</w:t>
            </w:r>
          </w:p>
        </w:tc>
        <w:tc>
          <w:tcPr>
            <w:tcW w:w="6903" w:type="dxa"/>
            <w:gridSpan w:val="5"/>
            <w:vAlign w:val="center"/>
          </w:tcPr>
          <w:p>
            <w:pPr>
              <w:spacing w:line="360" w:lineRule="auto"/>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sz w:val="24"/>
              </w:rPr>
            </w:pPr>
            <w:r>
              <w:rPr>
                <w:sz w:val="24"/>
              </w:rPr>
              <w:t>法人姓名</w:t>
            </w:r>
          </w:p>
        </w:tc>
        <w:tc>
          <w:tcPr>
            <w:tcW w:w="2229" w:type="dxa"/>
            <w:vAlign w:val="center"/>
          </w:tcPr>
          <w:p>
            <w:pPr>
              <w:spacing w:line="360" w:lineRule="auto"/>
              <w:jc w:val="center"/>
              <w:rPr>
                <w:sz w:val="24"/>
              </w:rPr>
            </w:pPr>
          </w:p>
        </w:tc>
        <w:tc>
          <w:tcPr>
            <w:tcW w:w="1189" w:type="dxa"/>
            <w:vAlign w:val="center"/>
          </w:tcPr>
          <w:p>
            <w:pPr>
              <w:spacing w:line="360" w:lineRule="auto"/>
              <w:jc w:val="center"/>
              <w:rPr>
                <w:sz w:val="24"/>
              </w:rPr>
            </w:pPr>
            <w:r>
              <w:rPr>
                <w:sz w:val="24"/>
              </w:rPr>
              <w:t>性别</w:t>
            </w:r>
          </w:p>
        </w:tc>
        <w:tc>
          <w:tcPr>
            <w:tcW w:w="1232" w:type="dxa"/>
            <w:vAlign w:val="center"/>
          </w:tcPr>
          <w:p>
            <w:pPr>
              <w:spacing w:line="360" w:lineRule="auto"/>
              <w:jc w:val="center"/>
              <w:rPr>
                <w:sz w:val="24"/>
              </w:rPr>
            </w:pPr>
          </w:p>
        </w:tc>
        <w:tc>
          <w:tcPr>
            <w:tcW w:w="847" w:type="dxa"/>
            <w:vAlign w:val="center"/>
          </w:tcPr>
          <w:p>
            <w:pPr>
              <w:spacing w:line="360" w:lineRule="auto"/>
              <w:jc w:val="center"/>
              <w:rPr>
                <w:sz w:val="24"/>
              </w:rPr>
            </w:pPr>
            <w:r>
              <w:rPr>
                <w:sz w:val="24"/>
              </w:rPr>
              <w:t>年龄</w:t>
            </w:r>
          </w:p>
        </w:tc>
        <w:tc>
          <w:tcPr>
            <w:tcW w:w="1406" w:type="dxa"/>
            <w:vAlign w:val="center"/>
          </w:tcPr>
          <w:p>
            <w:pPr>
              <w:spacing w:line="360" w:lineRule="auto"/>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2" w:hRule="exact"/>
        </w:trPr>
        <w:tc>
          <w:tcPr>
            <w:tcW w:w="8376" w:type="dxa"/>
            <w:gridSpan w:val="6"/>
            <w:vAlign w:val="center"/>
          </w:tcPr>
          <w:p>
            <w:pPr>
              <w:spacing w:line="360" w:lineRule="auto"/>
              <w:ind w:firstLine="480" w:firstLineChars="200"/>
              <w:rPr>
                <w:sz w:val="24"/>
              </w:rPr>
            </w:pPr>
            <w:r>
              <w:rPr>
                <w:sz w:val="24"/>
                <w:u w:val="single"/>
              </w:rPr>
              <w:t>（法人姓名）</w:t>
            </w:r>
            <w:r>
              <w:rPr>
                <w:sz w:val="24"/>
              </w:rPr>
              <w:t>系</w:t>
            </w:r>
            <w:r>
              <w:rPr>
                <w:sz w:val="24"/>
                <w:u w:val="single"/>
              </w:rPr>
              <w:t xml:space="preserve">   （单位名称）    </w:t>
            </w:r>
            <w:r>
              <w:rPr>
                <w:sz w:val="24"/>
              </w:rPr>
              <w:t xml:space="preserve">的法定代表人。为实施 </w:t>
            </w:r>
            <w:r>
              <w:rPr>
                <w:sz w:val="24"/>
                <w:u w:val="single"/>
              </w:rPr>
              <w:t xml:space="preserve">           项目（编号：      ）</w:t>
            </w:r>
            <w:r>
              <w:rPr>
                <w:sz w:val="24"/>
              </w:rPr>
              <w:t>的工作，签署本项目的响应文件、进行合同谈判、签署合同和处理与之有关的一切事务。</w:t>
            </w:r>
          </w:p>
          <w:p>
            <w:pPr>
              <w:spacing w:line="360" w:lineRule="auto"/>
              <w:ind w:firstLine="480" w:firstLineChars="200"/>
              <w:rPr>
                <w:sz w:val="24"/>
              </w:rPr>
            </w:pPr>
            <w:r>
              <w:rPr>
                <w:sz w:val="24"/>
              </w:rPr>
              <w:t>特此证明。</w:t>
            </w:r>
          </w:p>
        </w:tc>
      </w:tr>
    </w:tbl>
    <w:p>
      <w:pPr>
        <w:spacing w:line="360" w:lineRule="auto"/>
        <w:rPr>
          <w:szCs w:val="21"/>
        </w:rPr>
      </w:pPr>
    </w:p>
    <w:p>
      <w:pPr>
        <w:spacing w:line="360" w:lineRule="auto"/>
        <w:rPr>
          <w:sz w:val="24"/>
        </w:rPr>
      </w:pPr>
      <w:r>
        <w:rPr>
          <w:szCs w:val="21"/>
        </w:rPr>
        <w:t>                </w:t>
      </w:r>
      <w:r>
        <w:rPr>
          <w:sz w:val="24"/>
        </w:rPr>
        <w:t> 投标单位：（公章）</w:t>
      </w:r>
    </w:p>
    <w:p>
      <w:pPr>
        <w:spacing w:line="360" w:lineRule="auto"/>
        <w:rPr>
          <w:sz w:val="24"/>
        </w:rPr>
      </w:pPr>
      <w:r>
        <w:rPr>
          <w:sz w:val="24"/>
        </w:rPr>
        <w:t>                 法定代表人签字或盖章：</w:t>
      </w:r>
    </w:p>
    <w:p>
      <w:pPr>
        <w:spacing w:line="360" w:lineRule="auto"/>
        <w:ind w:firstLine="3600" w:firstLineChars="1500"/>
        <w:rPr>
          <w:szCs w:val="21"/>
        </w:rPr>
      </w:pPr>
      <w:r>
        <w:rPr>
          <w:sz w:val="24"/>
        </w:rPr>
        <w:t>日期：    年    月    日</w:t>
      </w:r>
    </w:p>
    <w:p>
      <w:pPr>
        <w:tabs>
          <w:tab w:val="left" w:pos="6045"/>
        </w:tabs>
        <w:snapToGrid w:val="0"/>
        <w:spacing w:line="360" w:lineRule="auto"/>
        <w:ind w:left="210" w:hanging="210" w:hangingChars="100"/>
        <w:rPr>
          <w:szCs w:val="21"/>
        </w:rPr>
      </w:pPr>
    </w:p>
    <w:p>
      <w:pPr>
        <w:snapToGrid w:val="0"/>
        <w:spacing w:line="360" w:lineRule="auto"/>
        <w:rPr>
          <w:b/>
          <w:szCs w:val="21"/>
        </w:rPr>
      </w:pPr>
      <w:r>
        <w:rPr>
          <w:szCs w:val="21"/>
        </w:rPr>
        <w:t> </w:t>
      </w:r>
    </w:p>
    <w:p>
      <w:pPr>
        <w:spacing w:line="360" w:lineRule="auto"/>
        <w:rPr>
          <w:szCs w:val="21"/>
        </w:rPr>
      </w:pPr>
      <w:r>
        <w:rPr>
          <w:szCs w:val="21"/>
        </w:rPr>
        <w:t>法定代表人身份证复印件：</w:t>
      </w:r>
    </w:p>
    <w:p>
      <w:pPr>
        <w:spacing w:line="360" w:lineRule="auto"/>
        <w:rPr>
          <w:szCs w:val="21"/>
        </w:rPr>
      </w:pPr>
      <w:r>
        <w:rPr>
          <w:szCs w:val="21"/>
        </w:rPr>
        <w:t>（黏贴后加盖骑缝公章）</w:t>
      </w:r>
    </w:p>
    <w:p>
      <w:pPr>
        <w:spacing w:line="360" w:lineRule="auto"/>
        <w:rPr>
          <w:szCs w:val="21"/>
        </w:rPr>
      </w:pPr>
    </w:p>
    <w:p>
      <w:pPr>
        <w:snapToGrid w:val="0"/>
        <w:spacing w:line="360" w:lineRule="auto"/>
        <w:jc w:val="center"/>
        <w:rPr>
          <w:b/>
          <w:sz w:val="24"/>
          <w:szCs w:val="28"/>
        </w:rPr>
      </w:pPr>
      <w:r>
        <w:rPr>
          <w:sz w:val="24"/>
        </w:rPr>
        <mc:AlternateContent>
          <mc:Choice Requires="wps">
            <w:drawing>
              <wp:anchor distT="0" distB="0" distL="114300" distR="114300" simplePos="0" relativeHeight="251661312" behindDoc="0" locked="0" layoutInCell="1" allowOverlap="1">
                <wp:simplePos x="0" y="0"/>
                <wp:positionH relativeFrom="column">
                  <wp:posOffset>2322830</wp:posOffset>
                </wp:positionH>
                <wp:positionV relativeFrom="paragraph">
                  <wp:posOffset>231775</wp:posOffset>
                </wp:positionV>
                <wp:extent cx="596265" cy="977265"/>
                <wp:effectExtent l="0" t="0" r="13335" b="13335"/>
                <wp:wrapNone/>
                <wp:docPr id="147" name="文本框 147"/>
                <wp:cNvGraphicFramePr/>
                <a:graphic xmlns:a="http://schemas.openxmlformats.org/drawingml/2006/main">
                  <a:graphicData uri="http://schemas.microsoft.com/office/word/2010/wordprocessingShape">
                    <wps:wsp>
                      <wps:cNvSpPr txBox="1"/>
                      <wps:spPr>
                        <a:xfrm>
                          <a:off x="0" y="0"/>
                          <a:ext cx="596265" cy="977265"/>
                        </a:xfrm>
                        <a:prstGeom prst="rect">
                          <a:avLst/>
                        </a:prstGeom>
                        <a:gradFill rotWithShape="0">
                          <a:gsLst>
                            <a:gs pos="0">
                              <a:srgbClr val="FFFFFF"/>
                            </a:gs>
                            <a:gs pos="100000">
                              <a:srgbClr val="FFFFFF"/>
                            </a:gs>
                          </a:gsLst>
                          <a:lin ang="0"/>
                          <a:tileRect/>
                        </a:gradFill>
                        <a:ln>
                          <a:noFill/>
                        </a:ln>
                      </wps:spPr>
                      <wps:txbx>
                        <w:txbxContent>
                          <w:p>
                            <w:pPr>
                              <w:rPr>
                                <w:sz w:val="28"/>
                                <w:szCs w:val="28"/>
                              </w:rPr>
                            </w:pPr>
                            <w:r>
                              <w:rPr>
                                <w:rFonts w:hint="eastAsia"/>
                                <w:sz w:val="28"/>
                                <w:szCs w:val="28"/>
                              </w:rPr>
                              <w:t>骑缝公章</w:t>
                            </w:r>
                          </w:p>
                        </w:txbxContent>
                      </wps:txbx>
                      <wps:bodyPr vert="eaVert" upright="1"/>
                    </wps:wsp>
                  </a:graphicData>
                </a:graphic>
              </wp:anchor>
            </w:drawing>
          </mc:Choice>
          <mc:Fallback>
            <w:pict>
              <v:shape id="_x0000_s1026" o:spid="_x0000_s1026" o:spt="202" type="#_x0000_t202" style="position:absolute;left:0pt;margin-left:182.9pt;margin-top:18.25pt;height:76.95pt;width:46.95pt;z-index:251661312;mso-width-relative:page;mso-height-relative:page;" fillcolor="#FFFFFF" filled="t" stroked="f" coordsize="21600,21600" o:gfxdata="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VQiU9gAAAAKAQAADwAAAAAAAAABACAAAAAiAAAAZHJzL2Rvd25y&#10;ZXYueG1sUEsBAhQAFAAAAAgAh07iQMDGYWb+AQAADwQAAA4AAAAAAAAAAQAgAAAAJwEAAGRycy9l&#10;Mm9Eb2MueG1sUEsFBgAAAAAGAAYAWQEAAJcFAAAAAA==&#10;">
                <v:fill type="gradient" on="t" color2="#FFFFFF" angle="90" focus="100%" focussize="0,0">
                  <o:fill type="gradientUnscaled" v:ext="backwardCompatible"/>
                </v:fill>
                <v:stroke on="f"/>
                <v:imagedata o:title=""/>
                <o:lock v:ext="edit" aspectratio="f"/>
                <v:textbox style="layout-flow:vertical-ideographic;">
                  <w:txbxContent>
                    <w:p>
                      <w:pPr>
                        <w:rPr>
                          <w:sz w:val="28"/>
                          <w:szCs w:val="28"/>
                        </w:rPr>
                      </w:pPr>
                      <w:r>
                        <w:rPr>
                          <w:rFonts w:hint="eastAsia"/>
                          <w:sz w:val="28"/>
                          <w:szCs w:val="28"/>
                        </w:rPr>
                        <w:t>骑缝公章</w:t>
                      </w:r>
                    </w:p>
                  </w:txbxContent>
                </v:textbox>
              </v:shape>
            </w:pict>
          </mc:Fallback>
        </mc:AlternateContent>
      </w:r>
      <w:r>
        <w:rPr>
          <w:b/>
          <w:sz w:val="24"/>
          <w:szCs w:val="28"/>
        </w:rPr>
        <w:drawing>
          <wp:inline distT="0" distB="0" distL="114300" distR="114300">
            <wp:extent cx="5139690" cy="1373505"/>
            <wp:effectExtent l="0" t="0" r="11430" b="13335"/>
            <wp:docPr id="148"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 descr="图片1"/>
                    <pic:cNvPicPr>
                      <a:picLocks noChangeAspect="1"/>
                    </pic:cNvPicPr>
                  </pic:nvPicPr>
                  <pic:blipFill>
                    <a:blip r:embed="rId6"/>
                    <a:stretch>
                      <a:fillRect/>
                    </a:stretch>
                  </pic:blipFill>
                  <pic:spPr>
                    <a:xfrm>
                      <a:off x="0" y="0"/>
                      <a:ext cx="5139690" cy="1373505"/>
                    </a:xfrm>
                    <a:prstGeom prst="rect">
                      <a:avLst/>
                    </a:prstGeom>
                    <a:noFill/>
                    <a:ln>
                      <a:noFill/>
                    </a:ln>
                  </pic:spPr>
                </pic:pic>
              </a:graphicData>
            </a:graphic>
          </wp:inline>
        </w:drawing>
      </w:r>
    </w:p>
    <w:p>
      <w:pPr>
        <w:spacing w:line="400" w:lineRule="exact"/>
        <w:rPr>
          <w:b/>
          <w:bCs/>
          <w:szCs w:val="21"/>
        </w:rPr>
      </w:pPr>
      <w:r>
        <w:rPr>
          <w:b/>
          <w:bCs/>
          <w:szCs w:val="21"/>
        </w:rPr>
        <w:t>注：</w:t>
      </w:r>
    </w:p>
    <w:p>
      <w:pPr>
        <w:spacing w:line="400" w:lineRule="exact"/>
        <w:rPr>
          <w:b/>
          <w:bCs/>
          <w:szCs w:val="21"/>
        </w:rPr>
      </w:pPr>
      <w:r>
        <w:rPr>
          <w:b/>
          <w:bCs/>
          <w:szCs w:val="21"/>
        </w:rPr>
        <w:t>1、身份证复印件信息必须清晰可辨，如因清晰度不够引起的一切后果由投标单位自行承担。</w:t>
      </w:r>
    </w:p>
    <w:p>
      <w:pPr>
        <w:spacing w:line="400" w:lineRule="exact"/>
        <w:rPr>
          <w:sz w:val="24"/>
        </w:rPr>
      </w:pPr>
      <w:r>
        <w:rPr>
          <w:b/>
          <w:bCs/>
          <w:szCs w:val="21"/>
        </w:rPr>
        <w:t>2、法定代表人参加开标会议时，须携带并按要求提交本人身份证原件。</w:t>
      </w:r>
    </w:p>
    <w:p>
      <w:pPr>
        <w:pageBreakBefore/>
        <w:spacing w:line="360" w:lineRule="auto"/>
        <w:outlineLvl w:val="1"/>
        <w:rPr>
          <w:b/>
          <w:color w:val="000000"/>
          <w:sz w:val="28"/>
          <w:szCs w:val="28"/>
        </w:rPr>
      </w:pPr>
      <w:r>
        <w:rPr>
          <w:b/>
          <w:color w:val="000000"/>
          <w:sz w:val="28"/>
          <w:szCs w:val="28"/>
        </w:rPr>
        <w:t>授权委托书</w:t>
      </w:r>
    </w:p>
    <w:p>
      <w:pPr>
        <w:pStyle w:val="59"/>
        <w:spacing w:line="360" w:lineRule="exact"/>
        <w:jc w:val="center"/>
        <w:rPr>
          <w:rFonts w:ascii="Times New Roman" w:hAnsi="Times New Roman"/>
          <w:b/>
          <w:sz w:val="32"/>
        </w:rPr>
      </w:pPr>
      <w:r>
        <w:rPr>
          <w:rFonts w:ascii="Times New Roman" w:hAnsi="Times New Roman"/>
          <w:b/>
          <w:sz w:val="32"/>
        </w:rPr>
        <w:t>授权委托书</w:t>
      </w:r>
    </w:p>
    <w:p>
      <w:pPr>
        <w:pStyle w:val="18"/>
      </w:pPr>
    </w:p>
    <w:p>
      <w:pPr>
        <w:adjustRightInd w:val="0"/>
        <w:snapToGrid w:val="0"/>
        <w:spacing w:line="480" w:lineRule="exact"/>
        <w:ind w:firstLine="451" w:firstLineChars="215"/>
        <w:rPr>
          <w:szCs w:val="21"/>
        </w:rPr>
      </w:pPr>
      <w:r>
        <w:rPr>
          <w:szCs w:val="21"/>
        </w:rPr>
        <w:t>本授权委托书声明：本人 ___________(姓名)系_________________（投标单位名称）的法定代表人，现授权委托__________________（被授权人的姓名）为本次投标中我单位的合法代理人，全权负责参加本次采购项目的谈判、签订合约以及与之相关的各项工作。本单位对被授权人的签名负全部责任。</w:t>
      </w:r>
    </w:p>
    <w:p>
      <w:pPr>
        <w:adjustRightInd w:val="0"/>
        <w:snapToGrid w:val="0"/>
        <w:spacing w:line="480" w:lineRule="exact"/>
        <w:ind w:firstLine="397"/>
        <w:rPr>
          <w:szCs w:val="21"/>
        </w:rPr>
      </w:pPr>
      <w:r>
        <w:rPr>
          <w:szCs w:val="21"/>
        </w:rPr>
        <w:t>本授权书于__________年_______月________日起签字生效，特此声明。</w:t>
      </w:r>
    </w:p>
    <w:p>
      <w:pPr>
        <w:adjustRightInd w:val="0"/>
        <w:snapToGrid w:val="0"/>
        <w:spacing w:line="480" w:lineRule="exact"/>
        <w:ind w:firstLine="397"/>
        <w:rPr>
          <w:szCs w:val="21"/>
        </w:rPr>
      </w:pPr>
      <w:r>
        <w:rPr>
          <w:szCs w:val="21"/>
        </w:rPr>
        <w:t>被授权人情况如下（必填）：</w:t>
      </w:r>
    </w:p>
    <w:p>
      <w:pPr>
        <w:adjustRightInd w:val="0"/>
        <w:snapToGrid w:val="0"/>
        <w:spacing w:line="480" w:lineRule="exact"/>
        <w:ind w:firstLine="397"/>
        <w:rPr>
          <w:szCs w:val="21"/>
        </w:rPr>
      </w:pPr>
      <w:r>
        <w:rPr>
          <w:szCs w:val="21"/>
        </w:rPr>
        <w:t>姓名：</w:t>
      </w:r>
      <w:r>
        <w:rPr>
          <w:szCs w:val="21"/>
          <w:u w:val="single"/>
        </w:rPr>
        <w:t xml:space="preserve">          </w:t>
      </w:r>
      <w:r>
        <w:rPr>
          <w:szCs w:val="21"/>
        </w:rPr>
        <w:t xml:space="preserve"> ；性别：</w:t>
      </w:r>
      <w:r>
        <w:rPr>
          <w:szCs w:val="21"/>
          <w:u w:val="single"/>
        </w:rPr>
        <w:t xml:space="preserve">       </w:t>
      </w:r>
      <w:r>
        <w:rPr>
          <w:szCs w:val="21"/>
        </w:rPr>
        <w:t xml:space="preserve"> ；联系电话：</w:t>
      </w:r>
      <w:r>
        <w:rPr>
          <w:szCs w:val="21"/>
          <w:u w:val="single"/>
        </w:rPr>
        <w:t xml:space="preserve">               </w:t>
      </w:r>
      <w:r>
        <w:rPr>
          <w:szCs w:val="21"/>
        </w:rPr>
        <w:t xml:space="preserve"> ；</w:t>
      </w:r>
    </w:p>
    <w:p>
      <w:pPr>
        <w:adjustRightInd w:val="0"/>
        <w:snapToGrid w:val="0"/>
        <w:spacing w:line="480" w:lineRule="exact"/>
        <w:ind w:firstLine="397"/>
        <w:rPr>
          <w:szCs w:val="21"/>
        </w:rPr>
      </w:pPr>
      <w:r>
        <w:rPr>
          <w:szCs w:val="21"/>
        </w:rPr>
        <w:t>身份证号码：</w:t>
      </w:r>
      <w:r>
        <w:rPr>
          <w:szCs w:val="21"/>
          <w:u w:val="single"/>
        </w:rPr>
        <w:t xml:space="preserve">                             </w:t>
      </w:r>
      <w:r>
        <w:rPr>
          <w:szCs w:val="21"/>
        </w:rPr>
        <w:t xml:space="preserve"> 。</w:t>
      </w:r>
    </w:p>
    <w:p>
      <w:pPr>
        <w:adjustRightInd w:val="0"/>
        <w:snapToGrid w:val="0"/>
        <w:spacing w:line="480" w:lineRule="exact"/>
        <w:ind w:firstLine="397"/>
        <w:rPr>
          <w:szCs w:val="21"/>
        </w:rPr>
      </w:pPr>
      <w:r>
        <w:rPr>
          <w:b/>
          <w:bCs/>
          <w:szCs w:val="21"/>
        </w:rPr>
        <w:t>被授权人签字</w:t>
      </w:r>
      <w:r>
        <w:rPr>
          <w:szCs w:val="21"/>
        </w:rPr>
        <w:t>：</w:t>
      </w:r>
      <w:r>
        <w:rPr>
          <w:szCs w:val="21"/>
          <w:u w:val="single"/>
        </w:rPr>
        <w:t xml:space="preserve">             </w:t>
      </w:r>
      <w:r>
        <w:rPr>
          <w:szCs w:val="21"/>
        </w:rPr>
        <w:t xml:space="preserve"> 。</w:t>
      </w:r>
    </w:p>
    <w:p>
      <w:pPr>
        <w:adjustRightInd w:val="0"/>
        <w:snapToGrid w:val="0"/>
        <w:spacing w:line="360" w:lineRule="auto"/>
        <w:rPr>
          <w:sz w:val="24"/>
        </w:rPr>
      </w:pPr>
    </w:p>
    <w:p>
      <w:pPr>
        <w:spacing w:line="360" w:lineRule="auto"/>
        <w:ind w:firstLine="4620" w:firstLineChars="2200"/>
        <w:rPr>
          <w:szCs w:val="21"/>
        </w:rPr>
      </w:pPr>
      <w:r>
        <w:rPr>
          <w:szCs w:val="21"/>
        </w:rPr>
        <w:t>投标单位名称：（公章）</w:t>
      </w:r>
    </w:p>
    <w:p>
      <w:pPr>
        <w:spacing w:line="360" w:lineRule="auto"/>
        <w:ind w:firstLine="4620" w:firstLineChars="2200"/>
        <w:rPr>
          <w:szCs w:val="21"/>
        </w:rPr>
      </w:pPr>
    </w:p>
    <w:p>
      <w:pPr>
        <w:spacing w:line="360" w:lineRule="auto"/>
        <w:ind w:firstLine="4620" w:firstLineChars="2200"/>
        <w:rPr>
          <w:szCs w:val="21"/>
        </w:rPr>
      </w:pPr>
      <w:r>
        <w:rPr>
          <w:szCs w:val="21"/>
        </w:rPr>
        <w:t>法定代表人签字或盖章：</w:t>
      </w:r>
    </w:p>
    <w:p>
      <w:pPr>
        <w:spacing w:line="360" w:lineRule="auto"/>
        <w:rPr>
          <w:szCs w:val="21"/>
        </w:rPr>
      </w:pPr>
    </w:p>
    <w:p>
      <w:pPr>
        <w:spacing w:line="360" w:lineRule="auto"/>
        <w:rPr>
          <w:szCs w:val="21"/>
        </w:rPr>
      </w:pPr>
      <w:r>
        <w:rPr>
          <w:szCs w:val="21"/>
        </w:rPr>
        <w:t>被授权人身份证复印件：</w:t>
      </w:r>
    </w:p>
    <w:p>
      <w:pPr>
        <w:spacing w:line="360" w:lineRule="auto"/>
        <w:rPr>
          <w:szCs w:val="21"/>
        </w:rPr>
      </w:pPr>
      <w:r>
        <w:rPr>
          <w:szCs w:val="21"/>
        </w:rPr>
        <w:t>（黏贴后加盖骑缝公章）</w:t>
      </w:r>
    </w:p>
    <w:p>
      <w:pPr>
        <w:spacing w:line="360" w:lineRule="auto"/>
        <w:rPr>
          <w:szCs w:val="21"/>
        </w:rPr>
      </w:pPr>
    </w:p>
    <w:p>
      <w:pPr>
        <w:snapToGrid w:val="0"/>
        <w:spacing w:line="360" w:lineRule="auto"/>
        <w:jc w:val="center"/>
        <w:rPr>
          <w:szCs w:val="21"/>
        </w:rPr>
      </w:pPr>
      <w:r>
        <w:rPr>
          <w:sz w:val="24"/>
        </w:rPr>
        <mc:AlternateContent>
          <mc:Choice Requires="wps">
            <w:drawing>
              <wp:anchor distT="0" distB="0" distL="114300" distR="114300" simplePos="0" relativeHeight="251662336" behindDoc="0" locked="0" layoutInCell="1" allowOverlap="1">
                <wp:simplePos x="0" y="0"/>
                <wp:positionH relativeFrom="column">
                  <wp:posOffset>2367280</wp:posOffset>
                </wp:positionH>
                <wp:positionV relativeFrom="paragraph">
                  <wp:posOffset>278765</wp:posOffset>
                </wp:positionV>
                <wp:extent cx="596265" cy="977265"/>
                <wp:effectExtent l="0" t="0" r="13335" b="13335"/>
                <wp:wrapNone/>
                <wp:docPr id="149" name="文本框 149"/>
                <wp:cNvGraphicFramePr/>
                <a:graphic xmlns:a="http://schemas.openxmlformats.org/drawingml/2006/main">
                  <a:graphicData uri="http://schemas.microsoft.com/office/word/2010/wordprocessingShape">
                    <wps:wsp>
                      <wps:cNvSpPr txBox="1"/>
                      <wps:spPr>
                        <a:xfrm>
                          <a:off x="0" y="0"/>
                          <a:ext cx="596265" cy="977265"/>
                        </a:xfrm>
                        <a:prstGeom prst="rect">
                          <a:avLst/>
                        </a:prstGeom>
                        <a:gradFill rotWithShape="0">
                          <a:gsLst>
                            <a:gs pos="0">
                              <a:srgbClr val="FFFFFF"/>
                            </a:gs>
                            <a:gs pos="100000">
                              <a:srgbClr val="FFFFFF"/>
                            </a:gs>
                          </a:gsLst>
                          <a:lin ang="0"/>
                          <a:tileRect/>
                        </a:gradFill>
                        <a:ln>
                          <a:noFill/>
                        </a:ln>
                      </wps:spPr>
                      <wps:txbx>
                        <w:txbxContent>
                          <w:p>
                            <w:pPr>
                              <w:rPr>
                                <w:sz w:val="28"/>
                                <w:szCs w:val="28"/>
                              </w:rPr>
                            </w:pPr>
                            <w:r>
                              <w:rPr>
                                <w:rFonts w:hint="eastAsia"/>
                                <w:sz w:val="28"/>
                                <w:szCs w:val="28"/>
                              </w:rPr>
                              <w:t>骑缝公章</w:t>
                            </w:r>
                          </w:p>
                        </w:txbxContent>
                      </wps:txbx>
                      <wps:bodyPr vert="eaVert" upright="1"/>
                    </wps:wsp>
                  </a:graphicData>
                </a:graphic>
              </wp:anchor>
            </w:drawing>
          </mc:Choice>
          <mc:Fallback>
            <w:pict>
              <v:shape id="_x0000_s1026" o:spid="_x0000_s1026" o:spt="202" type="#_x0000_t202" style="position:absolute;left:0pt;margin-left:186.4pt;margin-top:21.95pt;height:76.95pt;width:46.95pt;z-index:251662336;mso-width-relative:page;mso-height-relative:page;" fillcolor="#FFFFFF" filled="t" stroked="f" coordsize="21600,21600" o:gfxdata="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RC8PR1wAAAAoBAAAPAAAAAAAAAAEAIAAAACIAAABkcnMvZG93bnJl&#10;di54bWxQSwECFAAUAAAACACHTuJABw63cf4BAAAPBAAADgAAAAAAAAABACAAAAAmAQAAZHJzL2Uy&#10;b0RvYy54bWxQSwUGAAAAAAYABgBZAQAAlgUAAAAA&#10;">
                <v:fill type="gradient" on="t" color2="#FFFFFF" angle="90" focus="100%" focussize="0,0">
                  <o:fill type="gradientUnscaled" v:ext="backwardCompatible"/>
                </v:fill>
                <v:stroke on="f"/>
                <v:imagedata o:title=""/>
                <o:lock v:ext="edit" aspectratio="f"/>
                <v:textbox style="layout-flow:vertical-ideographic;">
                  <w:txbxContent>
                    <w:p>
                      <w:pPr>
                        <w:rPr>
                          <w:sz w:val="28"/>
                          <w:szCs w:val="28"/>
                        </w:rPr>
                      </w:pPr>
                      <w:r>
                        <w:rPr>
                          <w:rFonts w:hint="eastAsia"/>
                          <w:sz w:val="28"/>
                          <w:szCs w:val="28"/>
                        </w:rPr>
                        <w:t>骑缝公章</w:t>
                      </w:r>
                    </w:p>
                  </w:txbxContent>
                </v:textbox>
              </v:shape>
            </w:pict>
          </mc:Fallback>
        </mc:AlternateContent>
      </w:r>
      <w:r>
        <w:rPr>
          <w:b/>
          <w:sz w:val="24"/>
          <w:szCs w:val="28"/>
        </w:rPr>
        <w:drawing>
          <wp:inline distT="0" distB="0" distL="114300" distR="114300">
            <wp:extent cx="5380355" cy="1437640"/>
            <wp:effectExtent l="0" t="0" r="14605" b="10160"/>
            <wp:docPr id="150"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 descr="图片1"/>
                    <pic:cNvPicPr>
                      <a:picLocks noChangeAspect="1"/>
                    </pic:cNvPicPr>
                  </pic:nvPicPr>
                  <pic:blipFill>
                    <a:blip r:embed="rId6"/>
                    <a:stretch>
                      <a:fillRect/>
                    </a:stretch>
                  </pic:blipFill>
                  <pic:spPr>
                    <a:xfrm>
                      <a:off x="0" y="0"/>
                      <a:ext cx="5380355" cy="1437640"/>
                    </a:xfrm>
                    <a:prstGeom prst="rect">
                      <a:avLst/>
                    </a:prstGeom>
                    <a:noFill/>
                    <a:ln>
                      <a:noFill/>
                    </a:ln>
                  </pic:spPr>
                </pic:pic>
              </a:graphicData>
            </a:graphic>
          </wp:inline>
        </w:drawing>
      </w:r>
    </w:p>
    <w:p>
      <w:pPr>
        <w:spacing w:line="360" w:lineRule="auto"/>
        <w:rPr>
          <w:szCs w:val="21"/>
        </w:rPr>
      </w:pPr>
      <w:r>
        <w:rPr>
          <w:szCs w:val="21"/>
        </w:rPr>
        <w:t>注：</w:t>
      </w:r>
    </w:p>
    <w:p>
      <w:pPr>
        <w:rPr>
          <w:b/>
          <w:bCs/>
          <w:szCs w:val="21"/>
        </w:rPr>
      </w:pPr>
      <w:r>
        <w:rPr>
          <w:b/>
          <w:bCs/>
          <w:szCs w:val="21"/>
        </w:rPr>
        <w:t>1、被授权人参加开标会议时，须携带并按要求提交授权委托书和本人身份证原件。</w:t>
      </w:r>
    </w:p>
    <w:p>
      <w:pPr>
        <w:rPr>
          <w:sz w:val="24"/>
        </w:rPr>
      </w:pPr>
      <w:r>
        <w:rPr>
          <w:b/>
          <w:bCs/>
          <w:szCs w:val="21"/>
        </w:rPr>
        <w:t>2、身份证复印件信息必须清晰可辨，如因清晰度不够引起的一切后果由投标单位自行承担。</w:t>
      </w:r>
    </w:p>
    <w:p>
      <w:pPr>
        <w:spacing w:line="520" w:lineRule="exact"/>
        <w:rPr>
          <w:sz w:val="28"/>
          <w:szCs w:val="28"/>
        </w:rPr>
      </w:pPr>
    </w:p>
    <w:p>
      <w:pPr>
        <w:spacing w:line="520" w:lineRule="exact"/>
        <w:ind w:firstLine="560" w:firstLineChars="200"/>
        <w:rPr>
          <w:sz w:val="28"/>
          <w:szCs w:val="28"/>
        </w:rPr>
      </w:pPr>
    </w:p>
    <w:p>
      <w:pPr>
        <w:spacing w:line="520" w:lineRule="exact"/>
        <w:ind w:firstLine="560" w:firstLineChars="200"/>
        <w:rPr>
          <w:sz w:val="28"/>
          <w:szCs w:val="28"/>
        </w:rPr>
      </w:pPr>
    </w:p>
    <w:p>
      <w:pPr>
        <w:pStyle w:val="4"/>
        <w:spacing w:line="520" w:lineRule="exact"/>
        <w:rPr>
          <w:sz w:val="28"/>
          <w:szCs w:val="28"/>
        </w:rPr>
      </w:pPr>
      <w:bookmarkStart w:id="24" w:name="_Toc322436004"/>
      <w:bookmarkStart w:id="25" w:name="_Toc330998563"/>
      <w:bookmarkStart w:id="26" w:name="_Toc331056451"/>
      <w:bookmarkStart w:id="27" w:name="_Toc322436059"/>
      <w:bookmarkStart w:id="28" w:name="_Toc322436239"/>
      <w:bookmarkStart w:id="29" w:name="_Toc331061672"/>
      <w:bookmarkStart w:id="30" w:name="_Toc322435834"/>
      <w:r>
        <w:rPr>
          <w:sz w:val="28"/>
          <w:szCs w:val="28"/>
        </w:rPr>
        <w:t>附件三：开标一览表</w:t>
      </w:r>
      <w:bookmarkEnd w:id="24"/>
      <w:bookmarkEnd w:id="25"/>
      <w:bookmarkEnd w:id="26"/>
      <w:bookmarkEnd w:id="27"/>
      <w:bookmarkEnd w:id="28"/>
      <w:bookmarkEnd w:id="29"/>
      <w:bookmarkEnd w:id="30"/>
      <w:r>
        <w:rPr>
          <w:sz w:val="28"/>
          <w:szCs w:val="28"/>
        </w:rPr>
        <w:t>、分项报价表</w:t>
      </w:r>
    </w:p>
    <w:p>
      <w:pPr>
        <w:spacing w:line="520" w:lineRule="exact"/>
        <w:ind w:firstLine="602" w:firstLineChars="200"/>
        <w:jc w:val="center"/>
        <w:rPr>
          <w:b/>
          <w:bCs/>
          <w:sz w:val="30"/>
          <w:szCs w:val="30"/>
        </w:rPr>
      </w:pPr>
      <w:r>
        <w:rPr>
          <w:b/>
          <w:bCs/>
          <w:sz w:val="30"/>
          <w:szCs w:val="30"/>
        </w:rPr>
        <w:t>开标一览表</w:t>
      </w:r>
    </w:p>
    <w:p>
      <w:pPr>
        <w:spacing w:line="520" w:lineRule="exact"/>
        <w:ind w:firstLine="420" w:firstLineChars="200"/>
        <w:rPr>
          <w:szCs w:val="21"/>
        </w:rPr>
      </w:pPr>
      <w:r>
        <w:rPr>
          <w:szCs w:val="21"/>
        </w:rPr>
        <w:t xml:space="preserve"> </w:t>
      </w:r>
    </w:p>
    <w:p>
      <w:pPr>
        <w:pStyle w:val="4"/>
        <w:rPr>
          <w:b w:val="0"/>
          <w:bCs w:val="0"/>
          <w:sz w:val="21"/>
          <w:szCs w:val="21"/>
        </w:rPr>
      </w:pPr>
      <w:r>
        <w:rPr>
          <w:b w:val="0"/>
          <w:bCs w:val="0"/>
          <w:sz w:val="21"/>
          <w:szCs w:val="21"/>
        </w:rPr>
        <w:t xml:space="preserve">供应商名称（盖章）:  </w:t>
      </w:r>
    </w:p>
    <w:tbl>
      <w:tblPr>
        <w:tblStyle w:val="22"/>
        <w:tblW w:w="8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0"/>
        <w:gridCol w:w="4161"/>
        <w:gridCol w:w="2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jc w:val="center"/>
        </w:trPr>
        <w:tc>
          <w:tcPr>
            <w:tcW w:w="1820" w:type="dxa"/>
            <w:vAlign w:val="center"/>
          </w:tcPr>
          <w:p>
            <w:pPr>
              <w:snapToGrid w:val="0"/>
              <w:spacing w:line="360" w:lineRule="auto"/>
              <w:jc w:val="center"/>
            </w:pPr>
            <w:r>
              <w:t>采购项目名称</w:t>
            </w:r>
          </w:p>
        </w:tc>
        <w:tc>
          <w:tcPr>
            <w:tcW w:w="6799" w:type="dxa"/>
            <w:gridSpan w:val="2"/>
            <w:vAlign w:val="center"/>
          </w:tcPr>
          <w:p>
            <w:pPr>
              <w:snapToGrid w:val="0"/>
              <w:spacing w:line="360" w:lineRule="auto"/>
              <w:jc w:val="center"/>
              <w:rPr>
                <w:rFonts w:hint="eastAsia" w:eastAsia="宋体"/>
                <w:lang w:eastAsia="zh-CN"/>
              </w:rPr>
            </w:pPr>
            <w:r>
              <w:rPr>
                <w:rFonts w:hint="eastAsia"/>
                <w:szCs w:val="21"/>
                <w:lang w:eastAsia="zh-CN"/>
              </w:rPr>
              <w:t>常州市M地块土壤污染状况调查钻探服务项目（二次）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1820" w:type="dxa"/>
            <w:tcBorders>
              <w:top w:val="single" w:color="auto" w:sz="4" w:space="0"/>
            </w:tcBorders>
            <w:vAlign w:val="center"/>
          </w:tcPr>
          <w:p>
            <w:pPr>
              <w:snapToGrid w:val="0"/>
              <w:spacing w:line="360" w:lineRule="auto"/>
              <w:jc w:val="center"/>
            </w:pPr>
            <w:r>
              <w:t>投标报价（含税）</w:t>
            </w:r>
          </w:p>
        </w:tc>
        <w:tc>
          <w:tcPr>
            <w:tcW w:w="4161" w:type="dxa"/>
            <w:vAlign w:val="center"/>
          </w:tcPr>
          <w:p>
            <w:pPr>
              <w:snapToGrid w:val="0"/>
              <w:spacing w:line="360" w:lineRule="auto"/>
              <w:jc w:val="center"/>
              <w:rPr>
                <w:szCs w:val="21"/>
              </w:rPr>
            </w:pPr>
            <w:r>
              <w:rPr>
                <w:szCs w:val="21"/>
              </w:rPr>
              <w:t>大写：</w:t>
            </w:r>
            <w:r>
              <w:rPr>
                <w:szCs w:val="21"/>
                <w:u w:val="single"/>
              </w:rPr>
              <w:t xml:space="preserve">                      </w:t>
            </w:r>
            <w:r>
              <w:rPr>
                <w:szCs w:val="21"/>
              </w:rPr>
              <w:t>元</w:t>
            </w:r>
          </w:p>
        </w:tc>
        <w:tc>
          <w:tcPr>
            <w:tcW w:w="2638" w:type="dxa"/>
            <w:vAlign w:val="center"/>
          </w:tcPr>
          <w:p>
            <w:pPr>
              <w:snapToGrid w:val="0"/>
              <w:spacing w:line="360" w:lineRule="auto"/>
              <w:jc w:val="center"/>
            </w:pPr>
            <w:r>
              <w:t>小写：</w:t>
            </w:r>
            <w:r>
              <w:rPr>
                <w:u w:val="single"/>
              </w:rPr>
              <w:t xml:space="preserve">            </w:t>
            </w:r>
            <w: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1820" w:type="dxa"/>
            <w:vAlign w:val="center"/>
          </w:tcPr>
          <w:p>
            <w:pPr>
              <w:snapToGrid w:val="0"/>
              <w:spacing w:line="360" w:lineRule="auto"/>
              <w:jc w:val="center"/>
            </w:pPr>
            <w:r>
              <w:t>税率</w:t>
            </w:r>
          </w:p>
        </w:tc>
        <w:tc>
          <w:tcPr>
            <w:tcW w:w="6799" w:type="dxa"/>
            <w:gridSpan w:val="2"/>
            <w:vAlign w:val="center"/>
          </w:tcPr>
          <w:p>
            <w:pPr>
              <w:snapToGrid w:val="0"/>
              <w:spacing w:line="360" w:lineRule="auto"/>
              <w:jc w:val="center"/>
            </w:pPr>
          </w:p>
        </w:tc>
      </w:tr>
    </w:tbl>
    <w:p>
      <w:pPr>
        <w:pStyle w:val="36"/>
        <w:rPr>
          <w:rFonts w:ascii="Times New Roman" w:cs="Times New Roman"/>
          <w:szCs w:val="21"/>
        </w:rPr>
      </w:pPr>
    </w:p>
    <w:p>
      <w:pPr>
        <w:pStyle w:val="36"/>
        <w:rPr>
          <w:rFonts w:ascii="Times New Roman" w:cs="Times New Roman"/>
          <w:szCs w:val="21"/>
        </w:rPr>
      </w:pPr>
    </w:p>
    <w:p>
      <w:pPr>
        <w:pStyle w:val="36"/>
        <w:rPr>
          <w:rFonts w:ascii="Times New Roman" w:cs="Times New Roman"/>
          <w:szCs w:val="21"/>
        </w:rPr>
      </w:pPr>
    </w:p>
    <w:p>
      <w:pPr>
        <w:spacing w:line="280" w:lineRule="exact"/>
        <w:rPr>
          <w:szCs w:val="21"/>
        </w:rPr>
      </w:pPr>
      <w:r>
        <w:rPr>
          <w:szCs w:val="21"/>
        </w:rPr>
        <w:t>法定代表人或代理人（签字或盖章）：</w:t>
      </w:r>
    </w:p>
    <w:p>
      <w:pPr>
        <w:pStyle w:val="36"/>
        <w:rPr>
          <w:rFonts w:ascii="Times New Roman" w:cs="Times New Roman"/>
          <w:szCs w:val="21"/>
        </w:rPr>
      </w:pPr>
    </w:p>
    <w:p>
      <w:pPr>
        <w:pStyle w:val="5"/>
        <w:overflowPunct w:val="0"/>
        <w:spacing w:line="500" w:lineRule="exact"/>
        <w:rPr>
          <w:rFonts w:ascii="Times New Roman"/>
          <w:sz w:val="21"/>
          <w:szCs w:val="21"/>
        </w:rPr>
      </w:pPr>
      <w:r>
        <w:rPr>
          <w:rFonts w:ascii="Times New Roman"/>
          <w:sz w:val="21"/>
          <w:szCs w:val="21"/>
        </w:rPr>
        <w:t>年</w:t>
      </w:r>
      <w:r>
        <w:rPr>
          <w:rFonts w:ascii="Times New Roman"/>
          <w:sz w:val="21"/>
          <w:szCs w:val="21"/>
        </w:rPr>
        <w:tab/>
      </w:r>
      <w:r>
        <w:rPr>
          <w:rFonts w:ascii="Times New Roman"/>
          <w:sz w:val="21"/>
          <w:szCs w:val="21"/>
        </w:rPr>
        <w:t xml:space="preserve"> 月 </w:t>
      </w:r>
      <w:r>
        <w:rPr>
          <w:rFonts w:ascii="Times New Roman"/>
          <w:sz w:val="21"/>
          <w:szCs w:val="21"/>
        </w:rPr>
        <w:tab/>
      </w:r>
      <w:r>
        <w:rPr>
          <w:rFonts w:ascii="Times New Roman"/>
          <w:sz w:val="21"/>
          <w:szCs w:val="21"/>
        </w:rPr>
        <w:t>日</w:t>
      </w:r>
    </w:p>
    <w:p>
      <w:pPr>
        <w:spacing w:line="520" w:lineRule="exact"/>
        <w:ind w:firstLine="420" w:firstLineChars="200"/>
        <w:jc w:val="left"/>
        <w:rPr>
          <w:szCs w:val="21"/>
        </w:rPr>
      </w:pPr>
      <w:r>
        <w:rPr>
          <w:szCs w:val="21"/>
        </w:rPr>
        <w:t xml:space="preserve">                                                  </w:t>
      </w:r>
    </w:p>
    <w:p>
      <w:pPr>
        <w:spacing w:line="440" w:lineRule="exact"/>
        <w:ind w:firstLine="420" w:firstLineChars="200"/>
        <w:rPr>
          <w:szCs w:val="21"/>
        </w:rPr>
      </w:pPr>
    </w:p>
    <w:p>
      <w:pPr>
        <w:spacing w:line="360" w:lineRule="auto"/>
        <w:rPr>
          <w:szCs w:val="21"/>
        </w:rPr>
      </w:pPr>
    </w:p>
    <w:p>
      <w:pPr>
        <w:pStyle w:val="5"/>
        <w:overflowPunct w:val="0"/>
        <w:spacing w:line="500" w:lineRule="exact"/>
        <w:ind w:firstLine="0"/>
        <w:rPr>
          <w:rFonts w:ascii="Times New Roman"/>
          <w:sz w:val="21"/>
          <w:szCs w:val="21"/>
        </w:rPr>
      </w:pPr>
    </w:p>
    <w:p>
      <w:pPr>
        <w:pStyle w:val="5"/>
        <w:overflowPunct w:val="0"/>
        <w:spacing w:line="500" w:lineRule="exact"/>
        <w:ind w:firstLine="0"/>
        <w:rPr>
          <w:rFonts w:ascii="Times New Roman"/>
          <w:sz w:val="21"/>
          <w:szCs w:val="21"/>
        </w:rPr>
      </w:pPr>
    </w:p>
    <w:p>
      <w:pPr>
        <w:pStyle w:val="5"/>
        <w:overflowPunct w:val="0"/>
        <w:spacing w:line="500" w:lineRule="exact"/>
        <w:ind w:firstLine="0"/>
        <w:rPr>
          <w:rFonts w:ascii="Times New Roman"/>
          <w:sz w:val="21"/>
          <w:szCs w:val="21"/>
        </w:rPr>
      </w:pPr>
    </w:p>
    <w:p>
      <w:pPr>
        <w:pStyle w:val="5"/>
        <w:overflowPunct w:val="0"/>
        <w:spacing w:line="500" w:lineRule="exact"/>
        <w:ind w:firstLine="0"/>
        <w:rPr>
          <w:rFonts w:ascii="Times New Roman"/>
          <w:sz w:val="21"/>
          <w:szCs w:val="21"/>
        </w:rPr>
      </w:pPr>
    </w:p>
    <w:p>
      <w:pPr>
        <w:pStyle w:val="5"/>
        <w:overflowPunct w:val="0"/>
        <w:spacing w:line="500" w:lineRule="exact"/>
        <w:ind w:firstLine="0"/>
        <w:rPr>
          <w:rFonts w:ascii="Times New Roman"/>
          <w:sz w:val="21"/>
          <w:szCs w:val="21"/>
        </w:rPr>
      </w:pPr>
    </w:p>
    <w:p>
      <w:pPr>
        <w:pStyle w:val="5"/>
        <w:overflowPunct w:val="0"/>
        <w:spacing w:line="500" w:lineRule="exact"/>
        <w:ind w:firstLine="0"/>
        <w:rPr>
          <w:rFonts w:ascii="Times New Roman"/>
          <w:sz w:val="21"/>
          <w:szCs w:val="21"/>
        </w:rPr>
      </w:pPr>
    </w:p>
    <w:p>
      <w:pPr>
        <w:pStyle w:val="5"/>
        <w:overflowPunct w:val="0"/>
        <w:spacing w:line="500" w:lineRule="exact"/>
        <w:ind w:firstLine="0"/>
        <w:rPr>
          <w:rFonts w:ascii="Times New Roman"/>
          <w:sz w:val="21"/>
          <w:szCs w:val="21"/>
        </w:rPr>
      </w:pPr>
    </w:p>
    <w:p>
      <w:pPr>
        <w:spacing w:line="520" w:lineRule="exact"/>
        <w:ind w:firstLine="602" w:firstLineChars="200"/>
        <w:jc w:val="center"/>
        <w:rPr>
          <w:b/>
          <w:bCs/>
          <w:sz w:val="30"/>
          <w:szCs w:val="30"/>
        </w:rPr>
      </w:pPr>
    </w:p>
    <w:p>
      <w:pPr>
        <w:spacing w:line="520" w:lineRule="exact"/>
        <w:ind w:firstLine="602" w:firstLineChars="200"/>
        <w:jc w:val="center"/>
        <w:rPr>
          <w:b/>
          <w:bCs/>
          <w:sz w:val="30"/>
          <w:szCs w:val="30"/>
        </w:rPr>
      </w:pPr>
    </w:p>
    <w:p>
      <w:pPr>
        <w:spacing w:line="520" w:lineRule="exact"/>
        <w:ind w:firstLine="602" w:firstLineChars="200"/>
        <w:jc w:val="center"/>
        <w:rPr>
          <w:b/>
          <w:bCs/>
          <w:sz w:val="30"/>
          <w:szCs w:val="30"/>
        </w:rPr>
      </w:pPr>
      <w:r>
        <w:rPr>
          <w:b/>
          <w:bCs/>
          <w:sz w:val="30"/>
          <w:szCs w:val="30"/>
        </w:rPr>
        <w:t>分项报价表</w:t>
      </w:r>
    </w:p>
    <w:p>
      <w:pPr>
        <w:pStyle w:val="5"/>
        <w:overflowPunct w:val="0"/>
        <w:spacing w:line="500" w:lineRule="exact"/>
        <w:ind w:firstLine="0"/>
        <w:rPr>
          <w:rFonts w:ascii="Times New Roman"/>
          <w:sz w:val="21"/>
          <w:szCs w:val="21"/>
        </w:rPr>
      </w:pPr>
    </w:p>
    <w:p>
      <w:pPr>
        <w:pStyle w:val="4"/>
        <w:rPr>
          <w:color w:val="000000"/>
        </w:rPr>
      </w:pPr>
      <w:bookmarkStart w:id="31" w:name="_Toc322436006"/>
      <w:bookmarkStart w:id="32" w:name="_Toc322435836"/>
      <w:bookmarkStart w:id="33" w:name="_Toc322436241"/>
      <w:bookmarkStart w:id="34" w:name="_Toc331056453"/>
      <w:bookmarkStart w:id="35" w:name="_Toc330998565"/>
      <w:bookmarkStart w:id="36" w:name="_Toc322436061"/>
      <w:bookmarkStart w:id="37" w:name="_Toc331061674"/>
      <w:r>
        <w:rPr>
          <w:b w:val="0"/>
          <w:bCs w:val="0"/>
          <w:sz w:val="21"/>
          <w:szCs w:val="21"/>
        </w:rPr>
        <w:t xml:space="preserve">供应商名称（盖章）: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1399"/>
        <w:gridCol w:w="789"/>
        <w:gridCol w:w="789"/>
        <w:gridCol w:w="1342"/>
        <w:gridCol w:w="1342"/>
        <w:gridCol w:w="2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51" w:type="pct"/>
            <w:shd w:val="clear" w:color="000000" w:fill="FFFFFF"/>
            <w:vAlign w:val="center"/>
          </w:tcPr>
          <w:p>
            <w:pPr>
              <w:pStyle w:val="15"/>
              <w:rPr>
                <w:b/>
                <w:sz w:val="21"/>
                <w:szCs w:val="21"/>
              </w:rPr>
            </w:pPr>
            <w:r>
              <w:rPr>
                <w:b/>
                <w:sz w:val="21"/>
                <w:szCs w:val="21"/>
              </w:rPr>
              <w:t>序号</w:t>
            </w:r>
          </w:p>
        </w:tc>
        <w:tc>
          <w:tcPr>
            <w:tcW w:w="757" w:type="pct"/>
            <w:shd w:val="clear" w:color="000000" w:fill="FFFFFF"/>
            <w:vAlign w:val="center"/>
          </w:tcPr>
          <w:p>
            <w:pPr>
              <w:pStyle w:val="15"/>
              <w:rPr>
                <w:b/>
                <w:sz w:val="21"/>
                <w:szCs w:val="21"/>
              </w:rPr>
            </w:pPr>
            <w:r>
              <w:rPr>
                <w:b/>
                <w:sz w:val="21"/>
                <w:szCs w:val="21"/>
              </w:rPr>
              <w:t>项目</w:t>
            </w:r>
          </w:p>
        </w:tc>
        <w:tc>
          <w:tcPr>
            <w:tcW w:w="427" w:type="pct"/>
            <w:shd w:val="clear" w:color="000000" w:fill="FFFFFF"/>
            <w:vAlign w:val="center"/>
          </w:tcPr>
          <w:p>
            <w:pPr>
              <w:pStyle w:val="15"/>
              <w:rPr>
                <w:b/>
                <w:sz w:val="21"/>
                <w:szCs w:val="21"/>
              </w:rPr>
            </w:pPr>
            <w:r>
              <w:rPr>
                <w:b/>
                <w:sz w:val="21"/>
                <w:szCs w:val="21"/>
              </w:rPr>
              <w:t>数量</w:t>
            </w:r>
          </w:p>
        </w:tc>
        <w:tc>
          <w:tcPr>
            <w:tcW w:w="427" w:type="pct"/>
            <w:shd w:val="clear" w:color="000000" w:fill="FFFFFF"/>
            <w:vAlign w:val="center"/>
          </w:tcPr>
          <w:p>
            <w:pPr>
              <w:pStyle w:val="15"/>
              <w:rPr>
                <w:b/>
                <w:sz w:val="21"/>
                <w:szCs w:val="21"/>
              </w:rPr>
            </w:pPr>
            <w:r>
              <w:rPr>
                <w:b/>
                <w:sz w:val="21"/>
                <w:szCs w:val="21"/>
              </w:rPr>
              <w:t>单位</w:t>
            </w:r>
          </w:p>
        </w:tc>
        <w:tc>
          <w:tcPr>
            <w:tcW w:w="726" w:type="pct"/>
            <w:shd w:val="clear" w:color="000000" w:fill="FFFFFF"/>
            <w:vAlign w:val="center"/>
          </w:tcPr>
          <w:p>
            <w:pPr>
              <w:pStyle w:val="15"/>
              <w:rPr>
                <w:b/>
                <w:sz w:val="21"/>
                <w:szCs w:val="21"/>
              </w:rPr>
            </w:pPr>
            <w:r>
              <w:rPr>
                <w:b/>
                <w:sz w:val="21"/>
                <w:szCs w:val="21"/>
              </w:rPr>
              <w:t>单价（元）</w:t>
            </w:r>
          </w:p>
        </w:tc>
        <w:tc>
          <w:tcPr>
            <w:tcW w:w="726" w:type="pct"/>
            <w:shd w:val="clear" w:color="000000" w:fill="FFFFFF"/>
            <w:vAlign w:val="center"/>
          </w:tcPr>
          <w:p>
            <w:pPr>
              <w:pStyle w:val="15"/>
              <w:rPr>
                <w:b/>
                <w:sz w:val="21"/>
                <w:szCs w:val="21"/>
              </w:rPr>
            </w:pPr>
            <w:r>
              <w:rPr>
                <w:b/>
                <w:sz w:val="21"/>
                <w:szCs w:val="21"/>
              </w:rPr>
              <w:t>合价（元）</w:t>
            </w:r>
          </w:p>
        </w:tc>
        <w:tc>
          <w:tcPr>
            <w:tcW w:w="1585" w:type="pct"/>
            <w:shd w:val="clear" w:color="000000" w:fill="FFFFFF"/>
            <w:vAlign w:val="center"/>
          </w:tcPr>
          <w:p>
            <w:pPr>
              <w:pStyle w:val="15"/>
              <w:rPr>
                <w:b/>
                <w:sz w:val="21"/>
                <w:szCs w:val="21"/>
              </w:rPr>
            </w:pPr>
            <w:r>
              <w:rPr>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shd w:val="clear" w:color="000000" w:fill="FFFFFF"/>
            <w:vAlign w:val="center"/>
          </w:tcPr>
          <w:p>
            <w:pPr>
              <w:pStyle w:val="15"/>
              <w:rPr>
                <w:sz w:val="21"/>
                <w:szCs w:val="21"/>
              </w:rPr>
            </w:pPr>
            <w:r>
              <w:rPr>
                <w:sz w:val="21"/>
                <w:szCs w:val="21"/>
              </w:rPr>
              <w:t>1</w:t>
            </w:r>
          </w:p>
        </w:tc>
        <w:tc>
          <w:tcPr>
            <w:tcW w:w="4649" w:type="pct"/>
            <w:gridSpan w:val="6"/>
            <w:shd w:val="clear" w:color="000000" w:fill="FFFFFF"/>
            <w:vAlign w:val="center"/>
          </w:tcPr>
          <w:p>
            <w:pPr>
              <w:pStyle w:val="15"/>
              <w:rPr>
                <w:b/>
                <w:sz w:val="21"/>
                <w:szCs w:val="21"/>
              </w:rPr>
            </w:pPr>
            <w:r>
              <w:rPr>
                <w:b/>
                <w:sz w:val="21"/>
                <w:szCs w:val="21"/>
              </w:rPr>
              <w:t>直推式土壤取样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shd w:val="clear" w:color="000000" w:fill="FFFFFF"/>
            <w:vAlign w:val="center"/>
          </w:tcPr>
          <w:p>
            <w:pPr>
              <w:pStyle w:val="15"/>
              <w:rPr>
                <w:sz w:val="21"/>
                <w:szCs w:val="21"/>
              </w:rPr>
            </w:pPr>
            <w:r>
              <w:rPr>
                <w:sz w:val="21"/>
                <w:szCs w:val="21"/>
              </w:rPr>
              <w:t>1.1</w:t>
            </w:r>
          </w:p>
        </w:tc>
        <w:tc>
          <w:tcPr>
            <w:tcW w:w="757" w:type="pct"/>
            <w:shd w:val="clear" w:color="000000" w:fill="FFFFFF"/>
            <w:vAlign w:val="center"/>
          </w:tcPr>
          <w:p>
            <w:pPr>
              <w:pStyle w:val="15"/>
              <w:rPr>
                <w:sz w:val="21"/>
                <w:szCs w:val="21"/>
              </w:rPr>
            </w:pPr>
            <w:r>
              <w:rPr>
                <w:sz w:val="21"/>
                <w:szCs w:val="21"/>
              </w:rPr>
              <w:t>直推式土壤取样</w:t>
            </w:r>
          </w:p>
        </w:tc>
        <w:tc>
          <w:tcPr>
            <w:tcW w:w="427" w:type="pct"/>
            <w:shd w:val="clear" w:color="000000" w:fill="FFFFFF"/>
            <w:vAlign w:val="center"/>
          </w:tcPr>
          <w:p>
            <w:pPr>
              <w:pStyle w:val="15"/>
              <w:rPr>
                <w:sz w:val="21"/>
                <w:szCs w:val="21"/>
              </w:rPr>
            </w:pPr>
            <w:r>
              <w:rPr>
                <w:sz w:val="21"/>
                <w:szCs w:val="21"/>
              </w:rPr>
              <w:t>1050</w:t>
            </w:r>
          </w:p>
        </w:tc>
        <w:tc>
          <w:tcPr>
            <w:tcW w:w="427" w:type="pct"/>
            <w:shd w:val="clear" w:color="000000" w:fill="FFFFFF"/>
            <w:vAlign w:val="center"/>
          </w:tcPr>
          <w:p>
            <w:pPr>
              <w:pStyle w:val="15"/>
              <w:rPr>
                <w:sz w:val="21"/>
                <w:szCs w:val="21"/>
              </w:rPr>
            </w:pPr>
            <w:r>
              <w:rPr>
                <w:sz w:val="21"/>
                <w:szCs w:val="21"/>
              </w:rPr>
              <w:t>米</w:t>
            </w:r>
          </w:p>
        </w:tc>
        <w:tc>
          <w:tcPr>
            <w:tcW w:w="726" w:type="pct"/>
            <w:shd w:val="clear" w:color="auto" w:fill="auto"/>
            <w:vAlign w:val="center"/>
          </w:tcPr>
          <w:p>
            <w:pPr>
              <w:pStyle w:val="15"/>
              <w:rPr>
                <w:sz w:val="21"/>
                <w:szCs w:val="21"/>
              </w:rPr>
            </w:pPr>
          </w:p>
        </w:tc>
        <w:tc>
          <w:tcPr>
            <w:tcW w:w="726" w:type="pct"/>
            <w:shd w:val="clear" w:color="auto" w:fill="auto"/>
            <w:vAlign w:val="center"/>
          </w:tcPr>
          <w:p>
            <w:pPr>
              <w:pStyle w:val="15"/>
              <w:rPr>
                <w:sz w:val="21"/>
                <w:szCs w:val="21"/>
              </w:rPr>
            </w:pPr>
          </w:p>
        </w:tc>
        <w:tc>
          <w:tcPr>
            <w:tcW w:w="1585" w:type="pct"/>
            <w:shd w:val="clear" w:color="auto" w:fill="auto"/>
            <w:vAlign w:val="center"/>
          </w:tcPr>
          <w:p>
            <w:pPr>
              <w:pStyle w:val="15"/>
              <w:rPr>
                <w:sz w:val="21"/>
                <w:szCs w:val="21"/>
              </w:rPr>
            </w:pPr>
            <w:r>
              <w:rPr>
                <w:sz w:val="21"/>
                <w:szCs w:val="21"/>
              </w:rPr>
              <w:t>钻杆外径85mm，内径69mm；取样管外径53mm，内径50mm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shd w:val="clear" w:color="000000" w:fill="FFFFFF"/>
            <w:vAlign w:val="center"/>
          </w:tcPr>
          <w:p>
            <w:pPr>
              <w:pStyle w:val="15"/>
              <w:rPr>
                <w:sz w:val="21"/>
                <w:szCs w:val="21"/>
              </w:rPr>
            </w:pPr>
            <w:r>
              <w:rPr>
                <w:sz w:val="21"/>
                <w:szCs w:val="21"/>
              </w:rPr>
              <w:t>1.2</w:t>
            </w:r>
          </w:p>
        </w:tc>
        <w:tc>
          <w:tcPr>
            <w:tcW w:w="757" w:type="pct"/>
            <w:shd w:val="clear" w:color="000000" w:fill="FFFFFF"/>
            <w:vAlign w:val="center"/>
          </w:tcPr>
          <w:p>
            <w:pPr>
              <w:pStyle w:val="15"/>
              <w:rPr>
                <w:sz w:val="21"/>
                <w:szCs w:val="21"/>
              </w:rPr>
            </w:pPr>
            <w:r>
              <w:rPr>
                <w:sz w:val="21"/>
                <w:szCs w:val="21"/>
              </w:rPr>
              <w:t>挖机使用</w:t>
            </w:r>
          </w:p>
        </w:tc>
        <w:tc>
          <w:tcPr>
            <w:tcW w:w="427" w:type="pct"/>
            <w:shd w:val="clear" w:color="000000" w:fill="FFFFFF"/>
            <w:vAlign w:val="center"/>
          </w:tcPr>
          <w:p>
            <w:pPr>
              <w:pStyle w:val="15"/>
              <w:rPr>
                <w:sz w:val="21"/>
                <w:szCs w:val="21"/>
              </w:rPr>
            </w:pPr>
            <w:r>
              <w:rPr>
                <w:sz w:val="21"/>
                <w:szCs w:val="21"/>
              </w:rPr>
              <w:t>5</w:t>
            </w:r>
          </w:p>
        </w:tc>
        <w:tc>
          <w:tcPr>
            <w:tcW w:w="427" w:type="pct"/>
            <w:shd w:val="clear" w:color="000000" w:fill="FFFFFF"/>
            <w:vAlign w:val="center"/>
          </w:tcPr>
          <w:p>
            <w:pPr>
              <w:pStyle w:val="15"/>
              <w:rPr>
                <w:sz w:val="21"/>
                <w:szCs w:val="21"/>
              </w:rPr>
            </w:pPr>
            <w:r>
              <w:rPr>
                <w:sz w:val="21"/>
                <w:szCs w:val="21"/>
              </w:rPr>
              <w:t>天</w:t>
            </w:r>
          </w:p>
        </w:tc>
        <w:tc>
          <w:tcPr>
            <w:tcW w:w="726" w:type="pct"/>
            <w:shd w:val="clear" w:color="auto" w:fill="auto"/>
            <w:vAlign w:val="center"/>
          </w:tcPr>
          <w:p>
            <w:pPr>
              <w:pStyle w:val="15"/>
              <w:rPr>
                <w:sz w:val="21"/>
                <w:szCs w:val="21"/>
              </w:rPr>
            </w:pPr>
          </w:p>
        </w:tc>
        <w:tc>
          <w:tcPr>
            <w:tcW w:w="726" w:type="pct"/>
            <w:shd w:val="clear" w:color="auto" w:fill="auto"/>
            <w:vAlign w:val="center"/>
          </w:tcPr>
          <w:p>
            <w:pPr>
              <w:pStyle w:val="15"/>
              <w:rPr>
                <w:sz w:val="21"/>
                <w:szCs w:val="21"/>
              </w:rPr>
            </w:pPr>
          </w:p>
        </w:tc>
        <w:tc>
          <w:tcPr>
            <w:tcW w:w="1585" w:type="pct"/>
            <w:shd w:val="clear" w:color="auto" w:fill="auto"/>
            <w:vAlign w:val="center"/>
          </w:tcPr>
          <w:p>
            <w:pPr>
              <w:pStyle w:val="15"/>
              <w:rPr>
                <w:sz w:val="21"/>
                <w:szCs w:val="21"/>
              </w:rPr>
            </w:pPr>
            <w:r>
              <w:rPr>
                <w:sz w:val="21"/>
                <w:szCs w:val="21"/>
              </w:rPr>
              <w:t>挖机使用费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shd w:val="clear" w:color="000000" w:fill="FFFFFF"/>
            <w:vAlign w:val="center"/>
          </w:tcPr>
          <w:p>
            <w:pPr>
              <w:pStyle w:val="15"/>
              <w:rPr>
                <w:sz w:val="21"/>
                <w:szCs w:val="21"/>
              </w:rPr>
            </w:pPr>
            <w:r>
              <w:rPr>
                <w:sz w:val="21"/>
                <w:szCs w:val="21"/>
              </w:rPr>
              <w:t>1.3</w:t>
            </w:r>
          </w:p>
        </w:tc>
        <w:tc>
          <w:tcPr>
            <w:tcW w:w="757" w:type="pct"/>
            <w:shd w:val="clear" w:color="000000" w:fill="FFFFFF"/>
            <w:vAlign w:val="center"/>
          </w:tcPr>
          <w:p>
            <w:pPr>
              <w:pStyle w:val="15"/>
              <w:rPr>
                <w:sz w:val="21"/>
                <w:szCs w:val="21"/>
              </w:rPr>
            </w:pPr>
            <w:r>
              <w:rPr>
                <w:sz w:val="21"/>
                <w:szCs w:val="21"/>
              </w:rPr>
              <w:t>硬化路面破碎及取孔</w:t>
            </w:r>
          </w:p>
        </w:tc>
        <w:tc>
          <w:tcPr>
            <w:tcW w:w="427" w:type="pct"/>
            <w:shd w:val="clear" w:color="000000" w:fill="FFFFFF"/>
            <w:vAlign w:val="center"/>
          </w:tcPr>
          <w:p>
            <w:pPr>
              <w:pStyle w:val="15"/>
              <w:rPr>
                <w:sz w:val="21"/>
                <w:szCs w:val="21"/>
              </w:rPr>
            </w:pPr>
            <w:r>
              <w:rPr>
                <w:sz w:val="21"/>
                <w:szCs w:val="21"/>
              </w:rPr>
              <w:t>/</w:t>
            </w:r>
          </w:p>
        </w:tc>
        <w:tc>
          <w:tcPr>
            <w:tcW w:w="427" w:type="pct"/>
            <w:shd w:val="clear" w:color="000000" w:fill="FFFFFF"/>
            <w:vAlign w:val="center"/>
          </w:tcPr>
          <w:p>
            <w:pPr>
              <w:pStyle w:val="15"/>
              <w:rPr>
                <w:sz w:val="21"/>
                <w:szCs w:val="21"/>
              </w:rPr>
            </w:pPr>
            <w:r>
              <w:rPr>
                <w:sz w:val="21"/>
                <w:szCs w:val="21"/>
              </w:rPr>
              <w:t>/</w:t>
            </w:r>
          </w:p>
        </w:tc>
        <w:tc>
          <w:tcPr>
            <w:tcW w:w="726" w:type="pct"/>
            <w:shd w:val="clear" w:color="auto" w:fill="auto"/>
            <w:vAlign w:val="center"/>
          </w:tcPr>
          <w:p>
            <w:pPr>
              <w:pStyle w:val="15"/>
              <w:rPr>
                <w:sz w:val="21"/>
                <w:szCs w:val="21"/>
              </w:rPr>
            </w:pPr>
            <w:r>
              <w:rPr>
                <w:sz w:val="21"/>
                <w:szCs w:val="21"/>
              </w:rPr>
              <w:t>/</w:t>
            </w:r>
          </w:p>
        </w:tc>
        <w:tc>
          <w:tcPr>
            <w:tcW w:w="726" w:type="pct"/>
            <w:shd w:val="clear" w:color="auto" w:fill="auto"/>
            <w:vAlign w:val="center"/>
          </w:tcPr>
          <w:p>
            <w:pPr>
              <w:pStyle w:val="15"/>
              <w:rPr>
                <w:sz w:val="21"/>
                <w:szCs w:val="21"/>
              </w:rPr>
            </w:pPr>
            <w:r>
              <w:rPr>
                <w:sz w:val="21"/>
                <w:szCs w:val="21"/>
              </w:rPr>
              <w:t>/</w:t>
            </w:r>
          </w:p>
        </w:tc>
        <w:tc>
          <w:tcPr>
            <w:tcW w:w="1585" w:type="pct"/>
            <w:shd w:val="clear" w:color="auto" w:fill="auto"/>
            <w:vAlign w:val="center"/>
          </w:tcPr>
          <w:p>
            <w:pPr>
              <w:pStyle w:val="15"/>
              <w:rPr>
                <w:sz w:val="21"/>
                <w:szCs w:val="21"/>
              </w:rPr>
            </w:pPr>
            <w:r>
              <w:rPr>
                <w:sz w:val="21"/>
                <w:szCs w:val="21"/>
              </w:rPr>
              <w:t>部分点位需混凝土层取孔，孔径&gt;220mm，不再另外收费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shd w:val="clear" w:color="000000" w:fill="FFFFFF"/>
            <w:vAlign w:val="center"/>
          </w:tcPr>
          <w:p>
            <w:pPr>
              <w:pStyle w:val="15"/>
              <w:rPr>
                <w:sz w:val="21"/>
                <w:szCs w:val="21"/>
              </w:rPr>
            </w:pPr>
            <w:r>
              <w:rPr>
                <w:sz w:val="21"/>
                <w:szCs w:val="21"/>
              </w:rPr>
              <w:t>2</w:t>
            </w:r>
          </w:p>
        </w:tc>
        <w:tc>
          <w:tcPr>
            <w:tcW w:w="4649" w:type="pct"/>
            <w:gridSpan w:val="6"/>
            <w:shd w:val="clear" w:color="000000" w:fill="FFFFFF"/>
            <w:vAlign w:val="center"/>
          </w:tcPr>
          <w:p>
            <w:pPr>
              <w:pStyle w:val="15"/>
              <w:rPr>
                <w:b/>
                <w:sz w:val="21"/>
                <w:szCs w:val="21"/>
              </w:rPr>
            </w:pPr>
            <w:r>
              <w:rPr>
                <w:b/>
                <w:sz w:val="21"/>
                <w:szCs w:val="21"/>
              </w:rPr>
              <w:t>地下水监测井建设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shd w:val="clear" w:color="000000" w:fill="FFFFFF"/>
            <w:vAlign w:val="center"/>
          </w:tcPr>
          <w:p>
            <w:pPr>
              <w:pStyle w:val="15"/>
              <w:rPr>
                <w:sz w:val="21"/>
                <w:szCs w:val="21"/>
              </w:rPr>
            </w:pPr>
            <w:r>
              <w:rPr>
                <w:sz w:val="21"/>
                <w:szCs w:val="21"/>
              </w:rPr>
              <w:t>2.1</w:t>
            </w:r>
          </w:p>
        </w:tc>
        <w:tc>
          <w:tcPr>
            <w:tcW w:w="757" w:type="pct"/>
            <w:shd w:val="clear" w:color="000000" w:fill="FFFFFF"/>
            <w:vAlign w:val="center"/>
          </w:tcPr>
          <w:p>
            <w:pPr>
              <w:pStyle w:val="15"/>
              <w:rPr>
                <w:sz w:val="21"/>
                <w:szCs w:val="21"/>
              </w:rPr>
            </w:pPr>
            <w:r>
              <w:rPr>
                <w:sz w:val="21"/>
                <w:szCs w:val="21"/>
              </w:rPr>
              <w:t>钻井</w:t>
            </w:r>
          </w:p>
        </w:tc>
        <w:tc>
          <w:tcPr>
            <w:tcW w:w="427" w:type="pct"/>
            <w:shd w:val="clear" w:color="000000" w:fill="FFFFFF"/>
            <w:vAlign w:val="center"/>
          </w:tcPr>
          <w:p>
            <w:pPr>
              <w:pStyle w:val="15"/>
              <w:rPr>
                <w:sz w:val="21"/>
                <w:szCs w:val="21"/>
              </w:rPr>
            </w:pPr>
            <w:r>
              <w:rPr>
                <w:sz w:val="21"/>
                <w:szCs w:val="21"/>
              </w:rPr>
              <w:t>560</w:t>
            </w:r>
          </w:p>
        </w:tc>
        <w:tc>
          <w:tcPr>
            <w:tcW w:w="427" w:type="pct"/>
            <w:shd w:val="clear" w:color="000000" w:fill="FFFFFF"/>
            <w:vAlign w:val="center"/>
          </w:tcPr>
          <w:p>
            <w:pPr>
              <w:pStyle w:val="15"/>
              <w:rPr>
                <w:sz w:val="21"/>
                <w:szCs w:val="21"/>
              </w:rPr>
            </w:pPr>
            <w:r>
              <w:rPr>
                <w:sz w:val="21"/>
                <w:szCs w:val="21"/>
              </w:rPr>
              <w:t>米</w:t>
            </w:r>
          </w:p>
        </w:tc>
        <w:tc>
          <w:tcPr>
            <w:tcW w:w="726" w:type="pct"/>
            <w:shd w:val="clear" w:color="auto" w:fill="auto"/>
            <w:vAlign w:val="center"/>
          </w:tcPr>
          <w:p>
            <w:pPr>
              <w:pStyle w:val="15"/>
              <w:rPr>
                <w:sz w:val="21"/>
                <w:szCs w:val="21"/>
              </w:rPr>
            </w:pPr>
          </w:p>
        </w:tc>
        <w:tc>
          <w:tcPr>
            <w:tcW w:w="726" w:type="pct"/>
            <w:shd w:val="clear" w:color="auto" w:fill="auto"/>
            <w:vAlign w:val="center"/>
          </w:tcPr>
          <w:p>
            <w:pPr>
              <w:pStyle w:val="15"/>
              <w:rPr>
                <w:sz w:val="21"/>
                <w:szCs w:val="21"/>
              </w:rPr>
            </w:pPr>
          </w:p>
        </w:tc>
        <w:tc>
          <w:tcPr>
            <w:tcW w:w="1585" w:type="pct"/>
            <w:shd w:val="clear" w:color="auto" w:fill="auto"/>
            <w:vAlign w:val="center"/>
          </w:tcPr>
          <w:p>
            <w:pPr>
              <w:pStyle w:val="15"/>
              <w:rPr>
                <w:sz w:val="21"/>
                <w:szCs w:val="21"/>
              </w:rPr>
            </w:pPr>
            <w:r>
              <w:rPr>
                <w:sz w:val="21"/>
                <w:szCs w:val="21"/>
              </w:rPr>
              <w:t>成孔口径200mm，UPVC管口径为63mm，壁厚3mm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shd w:val="clear" w:color="000000" w:fill="FFFFFF"/>
            <w:vAlign w:val="center"/>
          </w:tcPr>
          <w:p>
            <w:pPr>
              <w:pStyle w:val="15"/>
              <w:rPr>
                <w:sz w:val="21"/>
                <w:szCs w:val="21"/>
              </w:rPr>
            </w:pPr>
            <w:r>
              <w:rPr>
                <w:sz w:val="21"/>
                <w:szCs w:val="21"/>
              </w:rPr>
              <w:t>2.2</w:t>
            </w:r>
          </w:p>
        </w:tc>
        <w:tc>
          <w:tcPr>
            <w:tcW w:w="757" w:type="pct"/>
            <w:shd w:val="clear" w:color="000000" w:fill="FFFFFF"/>
            <w:vAlign w:val="center"/>
          </w:tcPr>
          <w:p>
            <w:pPr>
              <w:pStyle w:val="15"/>
              <w:rPr>
                <w:sz w:val="21"/>
                <w:szCs w:val="21"/>
              </w:rPr>
            </w:pPr>
            <w:r>
              <w:rPr>
                <w:sz w:val="21"/>
                <w:szCs w:val="21"/>
              </w:rPr>
              <w:t>洗井</w:t>
            </w:r>
          </w:p>
        </w:tc>
        <w:tc>
          <w:tcPr>
            <w:tcW w:w="427" w:type="pct"/>
            <w:shd w:val="clear" w:color="000000" w:fill="FFFFFF"/>
            <w:vAlign w:val="center"/>
          </w:tcPr>
          <w:p>
            <w:pPr>
              <w:pStyle w:val="15"/>
              <w:rPr>
                <w:sz w:val="21"/>
                <w:szCs w:val="21"/>
              </w:rPr>
            </w:pPr>
            <w:r>
              <w:rPr>
                <w:sz w:val="21"/>
                <w:szCs w:val="21"/>
              </w:rPr>
              <w:t>100</w:t>
            </w:r>
          </w:p>
        </w:tc>
        <w:tc>
          <w:tcPr>
            <w:tcW w:w="427" w:type="pct"/>
            <w:shd w:val="clear" w:color="000000" w:fill="FFFFFF"/>
            <w:vAlign w:val="center"/>
          </w:tcPr>
          <w:p>
            <w:pPr>
              <w:pStyle w:val="15"/>
              <w:rPr>
                <w:sz w:val="21"/>
                <w:szCs w:val="21"/>
              </w:rPr>
            </w:pPr>
            <w:r>
              <w:rPr>
                <w:sz w:val="21"/>
                <w:szCs w:val="21"/>
              </w:rPr>
              <w:t>个</w:t>
            </w:r>
          </w:p>
        </w:tc>
        <w:tc>
          <w:tcPr>
            <w:tcW w:w="726" w:type="pct"/>
            <w:shd w:val="clear" w:color="auto" w:fill="auto"/>
            <w:vAlign w:val="center"/>
          </w:tcPr>
          <w:p>
            <w:pPr>
              <w:pStyle w:val="15"/>
              <w:rPr>
                <w:sz w:val="21"/>
                <w:szCs w:val="21"/>
              </w:rPr>
            </w:pPr>
          </w:p>
        </w:tc>
        <w:tc>
          <w:tcPr>
            <w:tcW w:w="726" w:type="pct"/>
            <w:shd w:val="clear" w:color="auto" w:fill="auto"/>
            <w:vAlign w:val="center"/>
          </w:tcPr>
          <w:p>
            <w:pPr>
              <w:pStyle w:val="15"/>
              <w:rPr>
                <w:sz w:val="21"/>
                <w:szCs w:val="21"/>
              </w:rPr>
            </w:pPr>
          </w:p>
        </w:tc>
        <w:tc>
          <w:tcPr>
            <w:tcW w:w="1585" w:type="pct"/>
            <w:shd w:val="clear" w:color="auto" w:fill="auto"/>
            <w:vAlign w:val="center"/>
          </w:tcPr>
          <w:p>
            <w:pPr>
              <w:pStyle w:val="15"/>
              <w:rPr>
                <w:sz w:val="21"/>
                <w:szCs w:val="21"/>
              </w:rPr>
            </w:pPr>
            <w:r>
              <w:rPr>
                <w:sz w:val="21"/>
                <w:szCs w:val="21"/>
              </w:rPr>
              <w:t>含贝勒管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shd w:val="clear" w:color="000000" w:fill="FFFFFF"/>
            <w:vAlign w:val="center"/>
          </w:tcPr>
          <w:p>
            <w:pPr>
              <w:pStyle w:val="15"/>
              <w:rPr>
                <w:sz w:val="21"/>
                <w:szCs w:val="21"/>
              </w:rPr>
            </w:pPr>
            <w:r>
              <w:rPr>
                <w:sz w:val="21"/>
                <w:szCs w:val="21"/>
              </w:rPr>
              <w:t>3</w:t>
            </w:r>
          </w:p>
        </w:tc>
        <w:tc>
          <w:tcPr>
            <w:tcW w:w="4649" w:type="pct"/>
            <w:gridSpan w:val="6"/>
            <w:shd w:val="clear" w:color="000000" w:fill="FFFFFF"/>
            <w:vAlign w:val="center"/>
          </w:tcPr>
          <w:p>
            <w:pPr>
              <w:pStyle w:val="15"/>
              <w:rPr>
                <w:b/>
                <w:sz w:val="21"/>
                <w:szCs w:val="21"/>
              </w:rPr>
            </w:pPr>
            <w:r>
              <w:rPr>
                <w:b/>
                <w:sz w:val="21"/>
                <w:szCs w:val="21"/>
              </w:rPr>
              <w:t>设备进出场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shd w:val="clear" w:color="000000" w:fill="FFFFFF"/>
            <w:vAlign w:val="center"/>
          </w:tcPr>
          <w:p>
            <w:pPr>
              <w:pStyle w:val="15"/>
              <w:rPr>
                <w:sz w:val="21"/>
                <w:szCs w:val="21"/>
              </w:rPr>
            </w:pPr>
            <w:r>
              <w:rPr>
                <w:sz w:val="21"/>
                <w:szCs w:val="21"/>
              </w:rPr>
              <w:t>3.1</w:t>
            </w:r>
          </w:p>
        </w:tc>
        <w:tc>
          <w:tcPr>
            <w:tcW w:w="757" w:type="pct"/>
            <w:shd w:val="clear" w:color="000000" w:fill="FFFFFF"/>
            <w:vAlign w:val="center"/>
          </w:tcPr>
          <w:p>
            <w:pPr>
              <w:pStyle w:val="15"/>
              <w:rPr>
                <w:sz w:val="21"/>
                <w:szCs w:val="21"/>
              </w:rPr>
            </w:pPr>
            <w:r>
              <w:rPr>
                <w:sz w:val="21"/>
                <w:szCs w:val="21"/>
              </w:rPr>
              <w:t>设备运费</w:t>
            </w:r>
          </w:p>
        </w:tc>
        <w:tc>
          <w:tcPr>
            <w:tcW w:w="427" w:type="pct"/>
            <w:shd w:val="clear" w:color="000000" w:fill="FFFFFF"/>
            <w:vAlign w:val="center"/>
          </w:tcPr>
          <w:p>
            <w:pPr>
              <w:pStyle w:val="15"/>
              <w:rPr>
                <w:sz w:val="21"/>
                <w:szCs w:val="21"/>
              </w:rPr>
            </w:pPr>
            <w:r>
              <w:rPr>
                <w:sz w:val="21"/>
                <w:szCs w:val="21"/>
              </w:rPr>
              <w:t>3</w:t>
            </w:r>
          </w:p>
        </w:tc>
        <w:tc>
          <w:tcPr>
            <w:tcW w:w="427" w:type="pct"/>
            <w:shd w:val="clear" w:color="000000" w:fill="FFFFFF"/>
            <w:vAlign w:val="center"/>
          </w:tcPr>
          <w:p>
            <w:pPr>
              <w:pStyle w:val="15"/>
              <w:rPr>
                <w:sz w:val="21"/>
                <w:szCs w:val="21"/>
              </w:rPr>
            </w:pPr>
            <w:r>
              <w:rPr>
                <w:sz w:val="21"/>
                <w:szCs w:val="21"/>
              </w:rPr>
              <w:t>项</w:t>
            </w:r>
          </w:p>
        </w:tc>
        <w:tc>
          <w:tcPr>
            <w:tcW w:w="726" w:type="pct"/>
            <w:shd w:val="clear" w:color="auto" w:fill="auto"/>
            <w:vAlign w:val="center"/>
          </w:tcPr>
          <w:p>
            <w:pPr>
              <w:pStyle w:val="15"/>
              <w:rPr>
                <w:sz w:val="21"/>
                <w:szCs w:val="21"/>
              </w:rPr>
            </w:pPr>
          </w:p>
        </w:tc>
        <w:tc>
          <w:tcPr>
            <w:tcW w:w="726" w:type="pct"/>
            <w:shd w:val="clear" w:color="auto" w:fill="auto"/>
            <w:vAlign w:val="center"/>
          </w:tcPr>
          <w:p>
            <w:pPr>
              <w:pStyle w:val="15"/>
              <w:rPr>
                <w:sz w:val="21"/>
                <w:szCs w:val="21"/>
              </w:rPr>
            </w:pPr>
          </w:p>
        </w:tc>
        <w:tc>
          <w:tcPr>
            <w:tcW w:w="1585" w:type="pct"/>
            <w:shd w:val="clear" w:color="auto" w:fill="auto"/>
            <w:vAlign w:val="center"/>
          </w:tcPr>
          <w:p>
            <w:pPr>
              <w:pStyle w:val="15"/>
              <w:rPr>
                <w:sz w:val="21"/>
                <w:szCs w:val="21"/>
              </w:rPr>
            </w:pPr>
            <w:r>
              <w:rPr>
                <w:sz w:val="21"/>
                <w:szCs w:val="21"/>
              </w:rPr>
              <w:t>钻机进场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shd w:val="clear" w:color="000000" w:fill="FFFFFF"/>
            <w:vAlign w:val="center"/>
          </w:tcPr>
          <w:p>
            <w:pPr>
              <w:pStyle w:val="15"/>
              <w:rPr>
                <w:sz w:val="21"/>
                <w:szCs w:val="21"/>
              </w:rPr>
            </w:pPr>
            <w:r>
              <w:rPr>
                <w:sz w:val="21"/>
                <w:szCs w:val="21"/>
              </w:rPr>
              <w:t>3.2</w:t>
            </w:r>
          </w:p>
        </w:tc>
        <w:tc>
          <w:tcPr>
            <w:tcW w:w="757" w:type="pct"/>
            <w:shd w:val="clear" w:color="000000" w:fill="FFFFFF"/>
            <w:vAlign w:val="center"/>
          </w:tcPr>
          <w:p>
            <w:pPr>
              <w:pStyle w:val="15"/>
              <w:rPr>
                <w:sz w:val="21"/>
                <w:szCs w:val="21"/>
              </w:rPr>
            </w:pPr>
            <w:r>
              <w:rPr>
                <w:sz w:val="21"/>
                <w:szCs w:val="21"/>
              </w:rPr>
              <w:t>挖机进出场</w:t>
            </w:r>
          </w:p>
        </w:tc>
        <w:tc>
          <w:tcPr>
            <w:tcW w:w="427" w:type="pct"/>
            <w:shd w:val="clear" w:color="000000" w:fill="FFFFFF"/>
            <w:vAlign w:val="center"/>
          </w:tcPr>
          <w:p>
            <w:pPr>
              <w:pStyle w:val="15"/>
              <w:rPr>
                <w:sz w:val="21"/>
                <w:szCs w:val="21"/>
              </w:rPr>
            </w:pPr>
            <w:r>
              <w:rPr>
                <w:sz w:val="21"/>
                <w:szCs w:val="21"/>
              </w:rPr>
              <w:t>3</w:t>
            </w:r>
          </w:p>
        </w:tc>
        <w:tc>
          <w:tcPr>
            <w:tcW w:w="427" w:type="pct"/>
            <w:shd w:val="clear" w:color="000000" w:fill="FFFFFF"/>
            <w:vAlign w:val="center"/>
          </w:tcPr>
          <w:p>
            <w:pPr>
              <w:pStyle w:val="15"/>
              <w:rPr>
                <w:sz w:val="21"/>
                <w:szCs w:val="21"/>
              </w:rPr>
            </w:pPr>
            <w:r>
              <w:rPr>
                <w:sz w:val="21"/>
                <w:szCs w:val="21"/>
              </w:rPr>
              <w:t>项</w:t>
            </w:r>
          </w:p>
        </w:tc>
        <w:tc>
          <w:tcPr>
            <w:tcW w:w="726" w:type="pct"/>
            <w:shd w:val="clear" w:color="auto" w:fill="auto"/>
            <w:vAlign w:val="center"/>
          </w:tcPr>
          <w:p>
            <w:pPr>
              <w:pStyle w:val="15"/>
              <w:rPr>
                <w:sz w:val="21"/>
                <w:szCs w:val="21"/>
              </w:rPr>
            </w:pPr>
          </w:p>
        </w:tc>
        <w:tc>
          <w:tcPr>
            <w:tcW w:w="726" w:type="pct"/>
            <w:shd w:val="clear" w:color="auto" w:fill="auto"/>
            <w:vAlign w:val="center"/>
          </w:tcPr>
          <w:p>
            <w:pPr>
              <w:pStyle w:val="15"/>
              <w:rPr>
                <w:sz w:val="21"/>
                <w:szCs w:val="21"/>
              </w:rPr>
            </w:pPr>
          </w:p>
        </w:tc>
        <w:tc>
          <w:tcPr>
            <w:tcW w:w="1585" w:type="pct"/>
            <w:shd w:val="clear" w:color="auto" w:fill="auto"/>
            <w:vAlign w:val="center"/>
          </w:tcPr>
          <w:p>
            <w:pPr>
              <w:pStyle w:val="15"/>
              <w:rPr>
                <w:sz w:val="21"/>
                <w:szCs w:val="21"/>
              </w:rPr>
            </w:pPr>
            <w:r>
              <w:rPr>
                <w:sz w:val="21"/>
                <w:szCs w:val="21"/>
              </w:rPr>
              <w:t>1m</w:t>
            </w:r>
            <w:r>
              <w:rPr>
                <w:sz w:val="21"/>
                <w:szCs w:val="21"/>
                <w:vertAlign w:val="superscript"/>
              </w:rPr>
              <w:t>3</w:t>
            </w:r>
            <w:r>
              <w:rPr>
                <w:sz w:val="21"/>
                <w:szCs w:val="21"/>
              </w:rPr>
              <w:t>大挖机进出场费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shd w:val="clear" w:color="000000" w:fill="FFFFFF"/>
            <w:vAlign w:val="center"/>
          </w:tcPr>
          <w:p>
            <w:pPr>
              <w:pStyle w:val="15"/>
              <w:rPr>
                <w:sz w:val="21"/>
                <w:szCs w:val="21"/>
              </w:rPr>
            </w:pPr>
            <w:r>
              <w:rPr>
                <w:sz w:val="21"/>
                <w:szCs w:val="21"/>
              </w:rPr>
              <w:t>4</w:t>
            </w:r>
          </w:p>
        </w:tc>
        <w:tc>
          <w:tcPr>
            <w:tcW w:w="4649" w:type="pct"/>
            <w:gridSpan w:val="6"/>
            <w:shd w:val="clear" w:color="000000" w:fill="FFFFFF"/>
            <w:vAlign w:val="center"/>
          </w:tcPr>
          <w:p>
            <w:pPr>
              <w:pStyle w:val="15"/>
              <w:rPr>
                <w:b/>
                <w:sz w:val="21"/>
                <w:szCs w:val="21"/>
              </w:rPr>
            </w:pPr>
            <w:r>
              <w:rPr>
                <w:b/>
                <w:sz w:val="21"/>
                <w:szCs w:val="21"/>
              </w:rPr>
              <w:t>人员费用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shd w:val="clear" w:color="000000" w:fill="FFFFFF"/>
            <w:vAlign w:val="center"/>
          </w:tcPr>
          <w:p>
            <w:pPr>
              <w:pStyle w:val="15"/>
              <w:rPr>
                <w:sz w:val="21"/>
                <w:szCs w:val="21"/>
              </w:rPr>
            </w:pPr>
            <w:r>
              <w:rPr>
                <w:sz w:val="21"/>
                <w:szCs w:val="21"/>
              </w:rPr>
              <w:t>4.1</w:t>
            </w:r>
          </w:p>
        </w:tc>
        <w:tc>
          <w:tcPr>
            <w:tcW w:w="757" w:type="pct"/>
            <w:shd w:val="clear" w:color="000000" w:fill="FFFFFF"/>
            <w:vAlign w:val="center"/>
          </w:tcPr>
          <w:p>
            <w:pPr>
              <w:pStyle w:val="15"/>
              <w:rPr>
                <w:sz w:val="21"/>
                <w:szCs w:val="21"/>
              </w:rPr>
            </w:pPr>
            <w:r>
              <w:rPr>
                <w:sz w:val="21"/>
                <w:szCs w:val="21"/>
              </w:rPr>
              <w:t>人工及差旅费</w:t>
            </w:r>
          </w:p>
        </w:tc>
        <w:tc>
          <w:tcPr>
            <w:tcW w:w="427" w:type="pct"/>
            <w:shd w:val="clear" w:color="000000" w:fill="FFFFFF"/>
            <w:vAlign w:val="center"/>
          </w:tcPr>
          <w:p>
            <w:pPr>
              <w:pStyle w:val="15"/>
              <w:rPr>
                <w:sz w:val="21"/>
                <w:szCs w:val="21"/>
              </w:rPr>
            </w:pPr>
            <w:r>
              <w:rPr>
                <w:sz w:val="21"/>
                <w:szCs w:val="21"/>
              </w:rPr>
              <w:t>/</w:t>
            </w:r>
          </w:p>
        </w:tc>
        <w:tc>
          <w:tcPr>
            <w:tcW w:w="427" w:type="pct"/>
            <w:shd w:val="clear" w:color="000000" w:fill="FFFFFF"/>
            <w:vAlign w:val="center"/>
          </w:tcPr>
          <w:p>
            <w:pPr>
              <w:pStyle w:val="15"/>
              <w:rPr>
                <w:sz w:val="21"/>
                <w:szCs w:val="21"/>
              </w:rPr>
            </w:pPr>
            <w:r>
              <w:rPr>
                <w:sz w:val="21"/>
                <w:szCs w:val="21"/>
              </w:rPr>
              <w:t>项</w:t>
            </w:r>
          </w:p>
        </w:tc>
        <w:tc>
          <w:tcPr>
            <w:tcW w:w="726" w:type="pct"/>
            <w:shd w:val="clear" w:color="auto" w:fill="auto"/>
            <w:vAlign w:val="center"/>
          </w:tcPr>
          <w:p>
            <w:pPr>
              <w:pStyle w:val="15"/>
              <w:rPr>
                <w:sz w:val="21"/>
                <w:szCs w:val="21"/>
              </w:rPr>
            </w:pPr>
            <w:r>
              <w:rPr>
                <w:sz w:val="21"/>
                <w:szCs w:val="21"/>
              </w:rPr>
              <w:t>/</w:t>
            </w:r>
          </w:p>
        </w:tc>
        <w:tc>
          <w:tcPr>
            <w:tcW w:w="726" w:type="pct"/>
            <w:shd w:val="clear" w:color="auto" w:fill="auto"/>
            <w:vAlign w:val="center"/>
          </w:tcPr>
          <w:p>
            <w:pPr>
              <w:pStyle w:val="15"/>
              <w:rPr>
                <w:sz w:val="21"/>
                <w:szCs w:val="21"/>
              </w:rPr>
            </w:pPr>
            <w:r>
              <w:rPr>
                <w:sz w:val="21"/>
                <w:szCs w:val="21"/>
              </w:rPr>
              <w:t>/</w:t>
            </w:r>
          </w:p>
        </w:tc>
        <w:tc>
          <w:tcPr>
            <w:tcW w:w="1585" w:type="pct"/>
            <w:shd w:val="clear" w:color="auto" w:fill="auto"/>
            <w:vAlign w:val="center"/>
          </w:tcPr>
          <w:p>
            <w:pPr>
              <w:pStyle w:val="15"/>
              <w:rPr>
                <w:sz w:val="21"/>
                <w:szCs w:val="21"/>
              </w:rPr>
            </w:pPr>
            <w:r>
              <w:rPr>
                <w:sz w:val="21"/>
                <w:szCs w:val="21"/>
              </w:rPr>
              <w:t>1台钻机配套1个班组，每个班组4人，费用含在钻探费中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shd w:val="clear" w:color="000000" w:fill="FFFFFF"/>
            <w:vAlign w:val="center"/>
          </w:tcPr>
          <w:p>
            <w:pPr>
              <w:pStyle w:val="15"/>
              <w:rPr>
                <w:sz w:val="21"/>
                <w:szCs w:val="21"/>
              </w:rPr>
            </w:pPr>
            <w:r>
              <w:rPr>
                <w:sz w:val="21"/>
                <w:szCs w:val="21"/>
              </w:rPr>
              <w:t>5</w:t>
            </w:r>
          </w:p>
        </w:tc>
        <w:tc>
          <w:tcPr>
            <w:tcW w:w="4649" w:type="pct"/>
            <w:gridSpan w:val="6"/>
            <w:shd w:val="clear" w:color="000000" w:fill="FFFFFF"/>
            <w:vAlign w:val="center"/>
          </w:tcPr>
          <w:p>
            <w:pPr>
              <w:pStyle w:val="15"/>
              <w:rPr>
                <w:b/>
                <w:sz w:val="21"/>
                <w:szCs w:val="21"/>
              </w:rPr>
            </w:pPr>
            <w:r>
              <w:rPr>
                <w:b/>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shd w:val="clear" w:color="000000" w:fill="FFFFFF"/>
            <w:vAlign w:val="center"/>
          </w:tcPr>
          <w:p>
            <w:pPr>
              <w:pStyle w:val="15"/>
              <w:rPr>
                <w:sz w:val="21"/>
                <w:szCs w:val="21"/>
              </w:rPr>
            </w:pPr>
            <w:r>
              <w:rPr>
                <w:sz w:val="21"/>
                <w:szCs w:val="21"/>
              </w:rPr>
              <w:t>5.1</w:t>
            </w:r>
          </w:p>
        </w:tc>
        <w:tc>
          <w:tcPr>
            <w:tcW w:w="757" w:type="pct"/>
            <w:shd w:val="clear" w:color="000000" w:fill="FFFFFF"/>
            <w:vAlign w:val="center"/>
          </w:tcPr>
          <w:p>
            <w:pPr>
              <w:pStyle w:val="15"/>
              <w:rPr>
                <w:sz w:val="21"/>
                <w:szCs w:val="21"/>
              </w:rPr>
            </w:pPr>
            <w:r>
              <w:rPr>
                <w:sz w:val="21"/>
                <w:szCs w:val="21"/>
              </w:rPr>
              <w:t>RTK测量</w:t>
            </w:r>
          </w:p>
        </w:tc>
        <w:tc>
          <w:tcPr>
            <w:tcW w:w="427" w:type="pct"/>
            <w:shd w:val="clear" w:color="000000" w:fill="FFFFFF"/>
            <w:vAlign w:val="center"/>
          </w:tcPr>
          <w:p>
            <w:pPr>
              <w:pStyle w:val="15"/>
              <w:rPr>
                <w:sz w:val="21"/>
                <w:szCs w:val="21"/>
              </w:rPr>
            </w:pPr>
            <w:r>
              <w:rPr>
                <w:sz w:val="21"/>
                <w:szCs w:val="21"/>
              </w:rPr>
              <w:t>/</w:t>
            </w:r>
          </w:p>
        </w:tc>
        <w:tc>
          <w:tcPr>
            <w:tcW w:w="427" w:type="pct"/>
            <w:shd w:val="clear" w:color="000000" w:fill="FFFFFF"/>
            <w:vAlign w:val="center"/>
          </w:tcPr>
          <w:p>
            <w:pPr>
              <w:pStyle w:val="15"/>
              <w:rPr>
                <w:sz w:val="21"/>
                <w:szCs w:val="21"/>
              </w:rPr>
            </w:pPr>
            <w:r>
              <w:rPr>
                <w:sz w:val="21"/>
                <w:szCs w:val="21"/>
              </w:rPr>
              <w:t>项</w:t>
            </w:r>
          </w:p>
        </w:tc>
        <w:tc>
          <w:tcPr>
            <w:tcW w:w="726" w:type="pct"/>
            <w:shd w:val="clear" w:color="auto" w:fill="auto"/>
            <w:vAlign w:val="center"/>
          </w:tcPr>
          <w:p>
            <w:pPr>
              <w:pStyle w:val="15"/>
              <w:rPr>
                <w:sz w:val="21"/>
                <w:szCs w:val="21"/>
              </w:rPr>
            </w:pPr>
            <w:r>
              <w:rPr>
                <w:sz w:val="21"/>
                <w:szCs w:val="21"/>
              </w:rPr>
              <w:t>/</w:t>
            </w:r>
          </w:p>
        </w:tc>
        <w:tc>
          <w:tcPr>
            <w:tcW w:w="726" w:type="pct"/>
            <w:shd w:val="clear" w:color="auto" w:fill="auto"/>
            <w:vAlign w:val="center"/>
          </w:tcPr>
          <w:p>
            <w:pPr>
              <w:pStyle w:val="15"/>
              <w:rPr>
                <w:sz w:val="21"/>
                <w:szCs w:val="21"/>
              </w:rPr>
            </w:pPr>
            <w:r>
              <w:rPr>
                <w:sz w:val="21"/>
                <w:szCs w:val="21"/>
              </w:rPr>
              <w:t>/</w:t>
            </w:r>
          </w:p>
        </w:tc>
        <w:tc>
          <w:tcPr>
            <w:tcW w:w="1585" w:type="pct"/>
            <w:shd w:val="clear" w:color="auto" w:fill="auto"/>
            <w:vAlign w:val="center"/>
          </w:tcPr>
          <w:p>
            <w:pPr>
              <w:pStyle w:val="15"/>
              <w:rPr>
                <w:sz w:val="21"/>
                <w:szCs w:val="21"/>
              </w:rPr>
            </w:pPr>
            <w:r>
              <w:rPr>
                <w:sz w:val="21"/>
                <w:szCs w:val="21"/>
              </w:rPr>
              <w:t>提供且不收费，大地2000坐标，需现场放点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shd w:val="clear" w:color="000000" w:fill="FFFFFF"/>
            <w:vAlign w:val="center"/>
          </w:tcPr>
          <w:p>
            <w:pPr>
              <w:pStyle w:val="15"/>
              <w:rPr>
                <w:sz w:val="21"/>
                <w:szCs w:val="21"/>
              </w:rPr>
            </w:pPr>
            <w:r>
              <w:rPr>
                <w:sz w:val="21"/>
                <w:szCs w:val="21"/>
              </w:rPr>
              <w:t>5.2</w:t>
            </w:r>
          </w:p>
        </w:tc>
        <w:tc>
          <w:tcPr>
            <w:tcW w:w="757" w:type="pct"/>
            <w:shd w:val="clear" w:color="000000" w:fill="FFFFFF"/>
            <w:vAlign w:val="center"/>
          </w:tcPr>
          <w:p>
            <w:pPr>
              <w:pStyle w:val="15"/>
              <w:rPr>
                <w:sz w:val="21"/>
                <w:szCs w:val="21"/>
              </w:rPr>
            </w:pPr>
            <w:r>
              <w:rPr>
                <w:sz w:val="21"/>
                <w:szCs w:val="21"/>
              </w:rPr>
              <w:t>二次污染防治</w:t>
            </w:r>
          </w:p>
        </w:tc>
        <w:tc>
          <w:tcPr>
            <w:tcW w:w="427" w:type="pct"/>
            <w:shd w:val="clear" w:color="000000" w:fill="FFFFFF"/>
            <w:vAlign w:val="center"/>
          </w:tcPr>
          <w:p>
            <w:pPr>
              <w:pStyle w:val="15"/>
              <w:rPr>
                <w:sz w:val="21"/>
                <w:szCs w:val="21"/>
              </w:rPr>
            </w:pPr>
            <w:r>
              <w:rPr>
                <w:sz w:val="21"/>
                <w:szCs w:val="21"/>
              </w:rPr>
              <w:t>/</w:t>
            </w:r>
          </w:p>
        </w:tc>
        <w:tc>
          <w:tcPr>
            <w:tcW w:w="427" w:type="pct"/>
            <w:shd w:val="clear" w:color="000000" w:fill="FFFFFF"/>
            <w:vAlign w:val="center"/>
          </w:tcPr>
          <w:p>
            <w:pPr>
              <w:pStyle w:val="15"/>
              <w:rPr>
                <w:sz w:val="21"/>
                <w:szCs w:val="21"/>
              </w:rPr>
            </w:pPr>
            <w:r>
              <w:rPr>
                <w:sz w:val="21"/>
                <w:szCs w:val="21"/>
              </w:rPr>
              <w:t>项</w:t>
            </w:r>
          </w:p>
        </w:tc>
        <w:tc>
          <w:tcPr>
            <w:tcW w:w="726" w:type="pct"/>
            <w:shd w:val="clear" w:color="auto" w:fill="auto"/>
            <w:vAlign w:val="center"/>
          </w:tcPr>
          <w:p>
            <w:pPr>
              <w:pStyle w:val="15"/>
              <w:rPr>
                <w:sz w:val="21"/>
                <w:szCs w:val="21"/>
              </w:rPr>
            </w:pPr>
            <w:r>
              <w:rPr>
                <w:sz w:val="21"/>
                <w:szCs w:val="21"/>
              </w:rPr>
              <w:t>/</w:t>
            </w:r>
          </w:p>
        </w:tc>
        <w:tc>
          <w:tcPr>
            <w:tcW w:w="726" w:type="pct"/>
            <w:shd w:val="clear" w:color="auto" w:fill="auto"/>
            <w:vAlign w:val="center"/>
          </w:tcPr>
          <w:p>
            <w:pPr>
              <w:pStyle w:val="15"/>
              <w:rPr>
                <w:sz w:val="21"/>
                <w:szCs w:val="21"/>
              </w:rPr>
            </w:pPr>
            <w:r>
              <w:rPr>
                <w:sz w:val="21"/>
                <w:szCs w:val="21"/>
              </w:rPr>
              <w:t>/</w:t>
            </w:r>
          </w:p>
        </w:tc>
        <w:tc>
          <w:tcPr>
            <w:tcW w:w="1585" w:type="pct"/>
            <w:shd w:val="clear" w:color="auto" w:fill="auto"/>
            <w:vAlign w:val="center"/>
          </w:tcPr>
          <w:p>
            <w:pPr>
              <w:pStyle w:val="15"/>
              <w:rPr>
                <w:sz w:val="21"/>
                <w:szCs w:val="21"/>
              </w:rPr>
            </w:pPr>
            <w:r>
              <w:rPr>
                <w:sz w:val="21"/>
                <w:szCs w:val="21"/>
              </w:rPr>
              <w:t>提供且不收费，包括不限于运输过程中使用的吨袋、收集桶及处置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shd w:val="clear" w:color="000000" w:fill="FFFFFF"/>
            <w:vAlign w:val="center"/>
          </w:tcPr>
          <w:p>
            <w:pPr>
              <w:pStyle w:val="15"/>
              <w:rPr>
                <w:sz w:val="21"/>
                <w:szCs w:val="21"/>
              </w:rPr>
            </w:pPr>
          </w:p>
        </w:tc>
        <w:tc>
          <w:tcPr>
            <w:tcW w:w="757" w:type="pct"/>
            <w:shd w:val="clear" w:color="000000" w:fill="FFFFFF"/>
            <w:vAlign w:val="center"/>
          </w:tcPr>
          <w:p>
            <w:pPr>
              <w:pStyle w:val="15"/>
              <w:rPr>
                <w:sz w:val="21"/>
                <w:szCs w:val="21"/>
              </w:rPr>
            </w:pPr>
            <w:r>
              <w:rPr>
                <w:sz w:val="21"/>
                <w:szCs w:val="21"/>
              </w:rPr>
              <w:t>合计</w:t>
            </w:r>
          </w:p>
        </w:tc>
        <w:tc>
          <w:tcPr>
            <w:tcW w:w="427" w:type="pct"/>
            <w:shd w:val="clear" w:color="000000" w:fill="FFFFFF"/>
            <w:vAlign w:val="center"/>
          </w:tcPr>
          <w:p>
            <w:pPr>
              <w:pStyle w:val="15"/>
              <w:rPr>
                <w:sz w:val="21"/>
                <w:szCs w:val="21"/>
              </w:rPr>
            </w:pPr>
          </w:p>
        </w:tc>
        <w:tc>
          <w:tcPr>
            <w:tcW w:w="427" w:type="pct"/>
            <w:shd w:val="clear" w:color="000000" w:fill="FFFFFF"/>
            <w:vAlign w:val="center"/>
          </w:tcPr>
          <w:p>
            <w:pPr>
              <w:pStyle w:val="15"/>
              <w:rPr>
                <w:sz w:val="21"/>
                <w:szCs w:val="21"/>
              </w:rPr>
            </w:pPr>
          </w:p>
        </w:tc>
        <w:tc>
          <w:tcPr>
            <w:tcW w:w="726" w:type="pct"/>
            <w:shd w:val="clear" w:color="auto" w:fill="auto"/>
            <w:vAlign w:val="center"/>
          </w:tcPr>
          <w:p>
            <w:pPr>
              <w:pStyle w:val="15"/>
              <w:rPr>
                <w:sz w:val="21"/>
                <w:szCs w:val="21"/>
              </w:rPr>
            </w:pPr>
          </w:p>
        </w:tc>
        <w:tc>
          <w:tcPr>
            <w:tcW w:w="726" w:type="pct"/>
            <w:shd w:val="clear" w:color="auto" w:fill="auto"/>
            <w:vAlign w:val="center"/>
          </w:tcPr>
          <w:p>
            <w:pPr>
              <w:pStyle w:val="15"/>
              <w:rPr>
                <w:sz w:val="21"/>
                <w:szCs w:val="21"/>
              </w:rPr>
            </w:pPr>
          </w:p>
        </w:tc>
        <w:tc>
          <w:tcPr>
            <w:tcW w:w="1585" w:type="pct"/>
            <w:shd w:val="clear" w:color="auto" w:fill="auto"/>
            <w:vAlign w:val="center"/>
          </w:tcPr>
          <w:p>
            <w:pPr>
              <w:pStyle w:val="15"/>
              <w:rPr>
                <w:sz w:val="21"/>
                <w:szCs w:val="21"/>
              </w:rPr>
            </w:pPr>
          </w:p>
        </w:tc>
      </w:tr>
    </w:tbl>
    <w:p>
      <w:pPr>
        <w:ind w:firstLine="560"/>
        <w:rPr>
          <w:szCs w:val="21"/>
        </w:rPr>
      </w:pPr>
    </w:p>
    <w:p>
      <w:pPr>
        <w:spacing w:line="280" w:lineRule="exact"/>
        <w:rPr>
          <w:szCs w:val="21"/>
        </w:rPr>
      </w:pPr>
    </w:p>
    <w:p>
      <w:pPr>
        <w:spacing w:line="280" w:lineRule="exact"/>
        <w:rPr>
          <w:szCs w:val="21"/>
        </w:rPr>
      </w:pPr>
      <w:r>
        <w:rPr>
          <w:szCs w:val="21"/>
        </w:rPr>
        <w:t>法定代表人或代理人（签字或盖章）：</w:t>
      </w:r>
    </w:p>
    <w:p>
      <w:pPr>
        <w:pStyle w:val="36"/>
        <w:rPr>
          <w:rFonts w:ascii="Times New Roman" w:cs="Times New Roman"/>
          <w:szCs w:val="21"/>
        </w:rPr>
      </w:pPr>
    </w:p>
    <w:p>
      <w:pPr>
        <w:pStyle w:val="5"/>
        <w:overflowPunct w:val="0"/>
        <w:spacing w:line="500" w:lineRule="exact"/>
        <w:rPr>
          <w:rFonts w:ascii="Times New Roman"/>
          <w:sz w:val="21"/>
          <w:szCs w:val="21"/>
        </w:rPr>
      </w:pPr>
      <w:r>
        <w:rPr>
          <w:rFonts w:ascii="Times New Roman"/>
          <w:sz w:val="21"/>
          <w:szCs w:val="21"/>
        </w:rPr>
        <w:t>年</w:t>
      </w:r>
      <w:r>
        <w:rPr>
          <w:rFonts w:ascii="Times New Roman"/>
          <w:sz w:val="21"/>
          <w:szCs w:val="21"/>
        </w:rPr>
        <w:tab/>
      </w:r>
      <w:r>
        <w:rPr>
          <w:rFonts w:ascii="Times New Roman"/>
          <w:sz w:val="21"/>
          <w:szCs w:val="21"/>
        </w:rPr>
        <w:t xml:space="preserve"> 月 </w:t>
      </w:r>
      <w:r>
        <w:rPr>
          <w:rFonts w:ascii="Times New Roman"/>
          <w:sz w:val="21"/>
          <w:szCs w:val="21"/>
        </w:rPr>
        <w:tab/>
      </w:r>
      <w:r>
        <w:rPr>
          <w:rFonts w:ascii="Times New Roman"/>
          <w:sz w:val="21"/>
          <w:szCs w:val="21"/>
        </w:rPr>
        <w:t>日</w:t>
      </w:r>
    </w:p>
    <w:p>
      <w:pPr>
        <w:sectPr>
          <w:headerReference r:id="rId3" w:type="default"/>
          <w:footerReference r:id="rId4" w:type="default"/>
          <w:pgSz w:w="11906" w:h="16838"/>
          <w:pgMar w:top="1440" w:right="1440" w:bottom="1440" w:left="1440" w:header="851" w:footer="992" w:gutter="0"/>
          <w:cols w:space="0" w:num="1"/>
          <w:docGrid w:linePitch="326" w:charSpace="0"/>
        </w:sectPr>
      </w:pPr>
    </w:p>
    <w:p>
      <w:pPr>
        <w:pStyle w:val="5"/>
        <w:overflowPunct w:val="0"/>
        <w:spacing w:line="500" w:lineRule="exact"/>
        <w:ind w:firstLine="0"/>
        <w:rPr>
          <w:rFonts w:ascii="Times New Roman"/>
          <w:b/>
          <w:color w:val="000000"/>
          <w:sz w:val="32"/>
          <w:szCs w:val="32"/>
        </w:rPr>
      </w:pPr>
      <w:r>
        <w:rPr>
          <w:rFonts w:ascii="Times New Roman"/>
          <w:b/>
          <w:color w:val="000000"/>
          <w:sz w:val="32"/>
          <w:szCs w:val="32"/>
        </w:rPr>
        <w:t>附件四：承诺函</w:t>
      </w:r>
    </w:p>
    <w:p>
      <w:pPr>
        <w:pStyle w:val="5"/>
        <w:overflowPunct w:val="0"/>
        <w:spacing w:line="500" w:lineRule="exact"/>
        <w:jc w:val="center"/>
        <w:rPr>
          <w:rFonts w:ascii="Times New Roman"/>
          <w:b/>
          <w:color w:val="000000"/>
          <w:sz w:val="32"/>
          <w:szCs w:val="32"/>
        </w:rPr>
      </w:pPr>
      <w:r>
        <w:rPr>
          <w:rFonts w:ascii="Times New Roman"/>
          <w:b/>
          <w:color w:val="000000"/>
          <w:sz w:val="32"/>
          <w:szCs w:val="32"/>
        </w:rPr>
        <w:t>承 诺 函</w:t>
      </w:r>
    </w:p>
    <w:p>
      <w:pPr>
        <w:pStyle w:val="5"/>
        <w:overflowPunct w:val="0"/>
        <w:spacing w:line="500" w:lineRule="exact"/>
        <w:jc w:val="center"/>
        <w:rPr>
          <w:rFonts w:ascii="Times New Roman"/>
          <w:color w:val="000000"/>
        </w:rPr>
      </w:pPr>
    </w:p>
    <w:p>
      <w:pPr>
        <w:pStyle w:val="5"/>
        <w:overflowPunct w:val="0"/>
        <w:spacing w:line="500" w:lineRule="exact"/>
        <w:ind w:firstLine="0"/>
        <w:rPr>
          <w:rFonts w:ascii="Times New Roman"/>
          <w:color w:val="000000"/>
        </w:rPr>
      </w:pPr>
      <w:r>
        <w:rPr>
          <w:rFonts w:ascii="Times New Roman"/>
          <w:color w:val="000000"/>
        </w:rPr>
        <w:t xml:space="preserve"> </w:t>
      </w:r>
      <w:r>
        <w:rPr>
          <w:rFonts w:ascii="Times New Roman"/>
          <w:color w:val="000000"/>
          <w:u w:val="single"/>
        </w:rPr>
        <w:t xml:space="preserve"> 常州市恒卓建设工程管理咨询有限公司 </w:t>
      </w:r>
      <w:r>
        <w:rPr>
          <w:rFonts w:ascii="Times New Roman"/>
          <w:color w:val="000000"/>
        </w:rPr>
        <w:t>：</w:t>
      </w:r>
    </w:p>
    <w:p>
      <w:pPr>
        <w:pStyle w:val="5"/>
        <w:overflowPunct w:val="0"/>
        <w:spacing w:line="500" w:lineRule="exact"/>
        <w:ind w:firstLine="660"/>
        <w:rPr>
          <w:rFonts w:ascii="Times New Roman"/>
          <w:color w:val="000000"/>
        </w:rPr>
      </w:pPr>
    </w:p>
    <w:p>
      <w:pPr>
        <w:pStyle w:val="5"/>
        <w:overflowPunct w:val="0"/>
        <w:spacing w:line="500" w:lineRule="exact"/>
        <w:ind w:firstLine="660"/>
        <w:rPr>
          <w:rFonts w:ascii="Times New Roman"/>
        </w:rPr>
      </w:pPr>
      <w:r>
        <w:rPr>
          <w:rFonts w:ascii="Times New Roman"/>
        </w:rPr>
        <w:t>本公司愿意参加贵公司组织实施的编号为</w:t>
      </w:r>
      <w:r>
        <w:rPr>
          <w:rFonts w:ascii="Times New Roman"/>
          <w:u w:val="single"/>
        </w:rPr>
        <w:t xml:space="preserve">          </w:t>
      </w:r>
      <w:r>
        <w:rPr>
          <w:rFonts w:ascii="Times New Roman"/>
        </w:rPr>
        <w:t>号的招标活动。本公司承诺：</w:t>
      </w:r>
    </w:p>
    <w:p>
      <w:pPr>
        <w:pStyle w:val="5"/>
        <w:overflowPunct w:val="0"/>
        <w:spacing w:line="500" w:lineRule="exact"/>
        <w:ind w:firstLine="480" w:firstLineChars="200"/>
        <w:rPr>
          <w:rFonts w:ascii="Times New Roman"/>
        </w:rPr>
      </w:pPr>
      <w:r>
        <w:rPr>
          <w:rFonts w:ascii="Times New Roman"/>
        </w:rPr>
        <w:t>1. 本公司依法缴纳税收和社会保障资金；</w:t>
      </w:r>
    </w:p>
    <w:p>
      <w:pPr>
        <w:spacing w:line="360" w:lineRule="auto"/>
        <w:ind w:firstLine="480" w:firstLineChars="200"/>
        <w:rPr>
          <w:sz w:val="24"/>
        </w:rPr>
      </w:pPr>
      <w:r>
        <w:rPr>
          <w:sz w:val="24"/>
        </w:rPr>
        <w:t>2. 本公司参加招标活动前三年内，在经营活动中无重大违法记录或无不良行为记录，无其他法律、行政法规规定的禁止参与招投标活动的行为；</w:t>
      </w:r>
    </w:p>
    <w:p>
      <w:pPr>
        <w:spacing w:line="360" w:lineRule="auto"/>
        <w:ind w:firstLine="480" w:firstLineChars="200"/>
        <w:rPr>
          <w:sz w:val="24"/>
        </w:rPr>
      </w:pPr>
      <w:r>
        <w:rPr>
          <w:sz w:val="24"/>
        </w:rPr>
        <w:t>3. 本公司提交的投标文件中所有关于投标单位资格的文件、证明和陈述均是真实的、准确的。</w:t>
      </w:r>
    </w:p>
    <w:p>
      <w:pPr>
        <w:spacing w:line="360" w:lineRule="auto"/>
        <w:ind w:firstLine="480" w:firstLineChars="200"/>
        <w:rPr>
          <w:sz w:val="24"/>
        </w:rPr>
      </w:pPr>
      <w:r>
        <w:rPr>
          <w:sz w:val="24"/>
        </w:rPr>
        <w:t>若与真实情况不符，本公司愿意承担由此而产生的一切后果。</w:t>
      </w:r>
    </w:p>
    <w:p>
      <w:pPr>
        <w:pStyle w:val="5"/>
        <w:overflowPunct w:val="0"/>
        <w:spacing w:line="500" w:lineRule="exact"/>
        <w:rPr>
          <w:rFonts w:ascii="Times New Roman"/>
        </w:rPr>
      </w:pPr>
    </w:p>
    <w:p>
      <w:pPr>
        <w:pStyle w:val="5"/>
        <w:overflowPunct w:val="0"/>
        <w:spacing w:line="500" w:lineRule="exact"/>
        <w:rPr>
          <w:rFonts w:ascii="Times New Roman"/>
        </w:rPr>
      </w:pPr>
      <w:r>
        <w:rPr>
          <w:rFonts w:ascii="Times New Roman"/>
        </w:rPr>
        <w:tab/>
      </w:r>
      <w:r>
        <w:rPr>
          <w:rFonts w:ascii="Times New Roman"/>
        </w:rPr>
        <w:tab/>
      </w:r>
      <w:r>
        <w:rPr>
          <w:rFonts w:ascii="Times New Roman"/>
        </w:rPr>
        <w:tab/>
      </w:r>
      <w:r>
        <w:rPr>
          <w:rFonts w:ascii="Times New Roman"/>
        </w:rPr>
        <w:tab/>
      </w:r>
      <w:r>
        <w:rPr>
          <w:rFonts w:ascii="Times New Roman"/>
        </w:rPr>
        <w:t xml:space="preserve">        法定代表人或代理人（签字或盖章）：</w:t>
      </w:r>
    </w:p>
    <w:p>
      <w:pPr>
        <w:pStyle w:val="5"/>
        <w:overflowPunct w:val="0"/>
        <w:spacing w:line="500" w:lineRule="exact"/>
        <w:ind w:left="1700" w:firstLine="425"/>
        <w:rPr>
          <w:rFonts w:ascii="Times New Roman"/>
        </w:rPr>
      </w:pPr>
      <w:r>
        <w:rPr>
          <w:rFonts w:ascii="Times New Roman"/>
        </w:rPr>
        <w:t xml:space="preserve">        投标单位（盖章）：</w:t>
      </w:r>
    </w:p>
    <w:p>
      <w:pPr>
        <w:pStyle w:val="5"/>
        <w:overflowPunct w:val="0"/>
        <w:spacing w:line="500" w:lineRule="exact"/>
        <w:rPr>
          <w:rFonts w:ascii="Times New Roman"/>
        </w:rPr>
      </w:pPr>
      <w:r>
        <w:rPr>
          <w:rFonts w:ascii="Times New Roman"/>
        </w:rPr>
        <w:t xml:space="preserve">               </w:t>
      </w:r>
    </w:p>
    <w:p>
      <w:pPr>
        <w:pStyle w:val="5"/>
        <w:overflowPunct w:val="0"/>
        <w:spacing w:line="500" w:lineRule="exact"/>
        <w:ind w:left="3507" w:firstLine="1145"/>
        <w:rPr>
          <w:rFonts w:ascii="Times New Roman"/>
        </w:rPr>
      </w:pPr>
      <w:r>
        <w:rPr>
          <w:rFonts w:ascii="Times New Roman"/>
        </w:rPr>
        <w:t>年</w:t>
      </w:r>
      <w:r>
        <w:rPr>
          <w:rFonts w:ascii="Times New Roman"/>
        </w:rPr>
        <w:tab/>
      </w:r>
      <w:r>
        <w:rPr>
          <w:rFonts w:ascii="Times New Roman"/>
        </w:rPr>
        <w:t xml:space="preserve"> 月 </w:t>
      </w:r>
      <w:r>
        <w:rPr>
          <w:rFonts w:ascii="Times New Roman"/>
        </w:rPr>
        <w:tab/>
      </w:r>
      <w:r>
        <w:rPr>
          <w:rFonts w:ascii="Times New Roman"/>
        </w:rPr>
        <w:t>日</w:t>
      </w:r>
    </w:p>
    <w:p>
      <w:pPr>
        <w:pStyle w:val="5"/>
        <w:overflowPunct w:val="0"/>
        <w:spacing w:line="500" w:lineRule="exact"/>
        <w:ind w:firstLine="0"/>
        <w:rPr>
          <w:rFonts w:ascii="Times New Roman"/>
          <w:b/>
          <w:bCs/>
          <w:color w:val="000000"/>
          <w:sz w:val="32"/>
          <w:szCs w:val="32"/>
        </w:rPr>
      </w:pPr>
    </w:p>
    <w:bookmarkEnd w:id="31"/>
    <w:bookmarkEnd w:id="32"/>
    <w:bookmarkEnd w:id="33"/>
    <w:bookmarkEnd w:id="34"/>
    <w:bookmarkEnd w:id="35"/>
    <w:bookmarkEnd w:id="36"/>
    <w:bookmarkEnd w:id="37"/>
    <w:p>
      <w:pPr>
        <w:spacing w:line="360" w:lineRule="exact"/>
        <w:rPr>
          <w:b/>
          <w:bCs/>
          <w:sz w:val="28"/>
          <w:szCs w:val="28"/>
        </w:rPr>
      </w:pPr>
      <w:bookmarkStart w:id="38" w:name="_Toc331056456"/>
      <w:bookmarkStart w:id="39" w:name="_Toc322436063"/>
      <w:bookmarkStart w:id="40" w:name="_Toc330998568"/>
      <w:bookmarkStart w:id="41" w:name="_Toc322436243"/>
      <w:bookmarkStart w:id="42" w:name="_Toc331061677"/>
      <w:bookmarkStart w:id="43" w:name="_Toc322436008"/>
      <w:bookmarkStart w:id="44" w:name="_Toc322435838"/>
    </w:p>
    <w:p>
      <w:pPr>
        <w:spacing w:line="360" w:lineRule="exact"/>
        <w:rPr>
          <w:b/>
          <w:bCs/>
          <w:sz w:val="28"/>
          <w:szCs w:val="28"/>
        </w:rPr>
      </w:pPr>
    </w:p>
    <w:p>
      <w:pPr>
        <w:spacing w:line="360" w:lineRule="exact"/>
        <w:rPr>
          <w:b/>
          <w:bCs/>
          <w:sz w:val="28"/>
          <w:szCs w:val="28"/>
        </w:rPr>
      </w:pPr>
    </w:p>
    <w:p>
      <w:pPr>
        <w:spacing w:line="360" w:lineRule="exact"/>
        <w:rPr>
          <w:b/>
          <w:bCs/>
          <w:sz w:val="28"/>
          <w:szCs w:val="28"/>
        </w:rPr>
      </w:pPr>
    </w:p>
    <w:p>
      <w:pPr>
        <w:spacing w:line="360" w:lineRule="exact"/>
        <w:rPr>
          <w:b/>
          <w:bCs/>
          <w:sz w:val="28"/>
          <w:szCs w:val="28"/>
        </w:rPr>
      </w:pPr>
    </w:p>
    <w:p>
      <w:pPr>
        <w:spacing w:line="360" w:lineRule="exact"/>
        <w:rPr>
          <w:b/>
          <w:bCs/>
          <w:sz w:val="28"/>
          <w:szCs w:val="28"/>
        </w:rPr>
      </w:pPr>
    </w:p>
    <w:p>
      <w:pPr>
        <w:spacing w:line="360" w:lineRule="exact"/>
        <w:rPr>
          <w:b/>
          <w:bCs/>
          <w:sz w:val="28"/>
          <w:szCs w:val="28"/>
        </w:rPr>
      </w:pPr>
    </w:p>
    <w:p>
      <w:pPr>
        <w:spacing w:line="360" w:lineRule="exact"/>
        <w:rPr>
          <w:b/>
          <w:bCs/>
          <w:sz w:val="28"/>
          <w:szCs w:val="28"/>
        </w:rPr>
      </w:pPr>
    </w:p>
    <w:p>
      <w:pPr>
        <w:spacing w:line="360" w:lineRule="exact"/>
        <w:rPr>
          <w:b/>
          <w:bCs/>
          <w:sz w:val="28"/>
          <w:szCs w:val="28"/>
        </w:rPr>
      </w:pPr>
    </w:p>
    <w:p>
      <w:pPr>
        <w:spacing w:line="360" w:lineRule="exact"/>
        <w:rPr>
          <w:b/>
          <w:bCs/>
          <w:sz w:val="28"/>
          <w:szCs w:val="28"/>
        </w:rPr>
      </w:pPr>
    </w:p>
    <w:p>
      <w:pPr>
        <w:spacing w:line="360" w:lineRule="exact"/>
        <w:rPr>
          <w:b/>
          <w:bCs/>
          <w:sz w:val="28"/>
          <w:szCs w:val="28"/>
        </w:rPr>
      </w:pPr>
    </w:p>
    <w:p>
      <w:pPr>
        <w:spacing w:line="360" w:lineRule="exact"/>
        <w:rPr>
          <w:b/>
          <w:bCs/>
          <w:sz w:val="28"/>
          <w:szCs w:val="28"/>
        </w:rPr>
      </w:pPr>
    </w:p>
    <w:p>
      <w:pPr>
        <w:spacing w:line="360" w:lineRule="exact"/>
        <w:rPr>
          <w:b/>
          <w:sz w:val="28"/>
        </w:rPr>
      </w:pPr>
      <w:r>
        <w:rPr>
          <w:b/>
          <w:bCs/>
          <w:sz w:val="28"/>
          <w:szCs w:val="28"/>
        </w:rPr>
        <w:t>附件五：</w:t>
      </w:r>
      <w:bookmarkEnd w:id="38"/>
      <w:bookmarkEnd w:id="39"/>
      <w:bookmarkEnd w:id="40"/>
      <w:bookmarkEnd w:id="41"/>
      <w:bookmarkEnd w:id="42"/>
      <w:bookmarkEnd w:id="43"/>
      <w:bookmarkEnd w:id="44"/>
      <w:r>
        <w:rPr>
          <w:b/>
          <w:sz w:val="28"/>
        </w:rPr>
        <w:t>偏离表</w:t>
      </w:r>
    </w:p>
    <w:p>
      <w:pPr>
        <w:jc w:val="center"/>
        <w:rPr>
          <w:b/>
          <w:sz w:val="32"/>
          <w:szCs w:val="32"/>
        </w:rPr>
      </w:pPr>
      <w:r>
        <w:rPr>
          <w:b/>
          <w:sz w:val="32"/>
          <w:szCs w:val="32"/>
        </w:rPr>
        <w:t>偏 离 表</w:t>
      </w:r>
    </w:p>
    <w:p>
      <w:pPr>
        <w:rPr>
          <w:b/>
          <w:sz w:val="28"/>
        </w:rPr>
      </w:pPr>
    </w:p>
    <w:p>
      <w:pPr>
        <w:rPr>
          <w:szCs w:val="21"/>
        </w:rPr>
      </w:pPr>
      <w:r>
        <w:rPr>
          <w:szCs w:val="21"/>
        </w:rPr>
        <w:t>投标单位应对招标文件中规定的商务及技术部分给予充分的考虑。为了评审的需要，投标单位应将这些条款的异议逐条提出或根据以下要求的格式提出偏离。</w:t>
      </w:r>
    </w:p>
    <w:p>
      <w:pPr>
        <w:spacing w:line="280" w:lineRule="exact"/>
        <w:rPr>
          <w:szCs w:val="21"/>
        </w:rPr>
      </w:pPr>
      <w:r>
        <w:rPr>
          <w:szCs w:val="21"/>
        </w:rPr>
        <w:t xml:space="preserve">如无偏离，请在本页上写“无”，并附在投标文件中 。  </w:t>
      </w:r>
    </w:p>
    <w:p>
      <w:pPr>
        <w:spacing w:line="280" w:lineRule="exact"/>
        <w:rPr>
          <w:szCs w:val="21"/>
        </w:rPr>
      </w:pPr>
      <w:r>
        <w:rPr>
          <w:szCs w:val="21"/>
        </w:rPr>
        <w:t>项目编号：</w:t>
      </w:r>
    </w:p>
    <w:tbl>
      <w:tblPr>
        <w:tblStyle w:val="22"/>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2"/>
        <w:gridCol w:w="3044"/>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2132" w:type="dxa"/>
            <w:vAlign w:val="center"/>
          </w:tcPr>
          <w:p>
            <w:pPr>
              <w:rPr>
                <w:szCs w:val="21"/>
              </w:rPr>
            </w:pPr>
            <w:r>
              <w:rPr>
                <w:szCs w:val="21"/>
              </w:rPr>
              <w:t>章节号</w:t>
            </w:r>
          </w:p>
        </w:tc>
        <w:tc>
          <w:tcPr>
            <w:tcW w:w="2132" w:type="dxa"/>
            <w:vAlign w:val="center"/>
          </w:tcPr>
          <w:p>
            <w:pPr>
              <w:rPr>
                <w:szCs w:val="21"/>
              </w:rPr>
            </w:pPr>
            <w:r>
              <w:rPr>
                <w:szCs w:val="21"/>
              </w:rPr>
              <w:t>投标单位的偏离</w:t>
            </w:r>
          </w:p>
        </w:tc>
        <w:tc>
          <w:tcPr>
            <w:tcW w:w="3044" w:type="dxa"/>
            <w:vAlign w:val="center"/>
          </w:tcPr>
          <w:p>
            <w:pPr>
              <w:rPr>
                <w:szCs w:val="21"/>
              </w:rPr>
            </w:pPr>
            <w:r>
              <w:rPr>
                <w:szCs w:val="21"/>
              </w:rPr>
              <w:t>投标单位偏离的理由</w:t>
            </w:r>
          </w:p>
        </w:tc>
        <w:tc>
          <w:tcPr>
            <w:tcW w:w="1440" w:type="dxa"/>
            <w:vAlign w:val="center"/>
          </w:tcPr>
          <w:p>
            <w:pP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132" w:type="dxa"/>
          </w:tcPr>
          <w:p>
            <w:pPr>
              <w:rPr>
                <w:szCs w:val="21"/>
              </w:rPr>
            </w:pPr>
          </w:p>
        </w:tc>
        <w:tc>
          <w:tcPr>
            <w:tcW w:w="2132" w:type="dxa"/>
          </w:tcPr>
          <w:p>
            <w:pPr>
              <w:rPr>
                <w:szCs w:val="21"/>
              </w:rPr>
            </w:pPr>
          </w:p>
        </w:tc>
        <w:tc>
          <w:tcPr>
            <w:tcW w:w="3044" w:type="dxa"/>
          </w:tcPr>
          <w:p>
            <w:pPr>
              <w:rPr>
                <w:szCs w:val="21"/>
              </w:rPr>
            </w:pPr>
          </w:p>
        </w:tc>
        <w:tc>
          <w:tcPr>
            <w:tcW w:w="1440"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132" w:type="dxa"/>
          </w:tcPr>
          <w:p>
            <w:pPr>
              <w:rPr>
                <w:szCs w:val="21"/>
              </w:rPr>
            </w:pPr>
          </w:p>
        </w:tc>
        <w:tc>
          <w:tcPr>
            <w:tcW w:w="2132" w:type="dxa"/>
          </w:tcPr>
          <w:p>
            <w:pPr>
              <w:rPr>
                <w:szCs w:val="21"/>
              </w:rPr>
            </w:pPr>
          </w:p>
        </w:tc>
        <w:tc>
          <w:tcPr>
            <w:tcW w:w="3044" w:type="dxa"/>
          </w:tcPr>
          <w:p>
            <w:pPr>
              <w:rPr>
                <w:szCs w:val="21"/>
              </w:rPr>
            </w:pPr>
          </w:p>
        </w:tc>
        <w:tc>
          <w:tcPr>
            <w:tcW w:w="1440" w:type="dxa"/>
          </w:tcPr>
          <w:p>
            <w:pPr>
              <w:rPr>
                <w:szCs w:val="21"/>
              </w:rPr>
            </w:pPr>
          </w:p>
        </w:tc>
      </w:tr>
    </w:tbl>
    <w:p>
      <w:pPr>
        <w:rPr>
          <w:sz w:val="24"/>
        </w:rPr>
      </w:pPr>
    </w:p>
    <w:p>
      <w:pPr>
        <w:spacing w:line="280" w:lineRule="exact"/>
        <w:rPr>
          <w:szCs w:val="21"/>
        </w:rPr>
      </w:pPr>
      <w:r>
        <w:rPr>
          <w:szCs w:val="21"/>
        </w:rPr>
        <w:t xml:space="preserve">投标单位（盖章）：                    </w:t>
      </w:r>
    </w:p>
    <w:p>
      <w:pPr>
        <w:spacing w:line="280" w:lineRule="exact"/>
        <w:rPr>
          <w:szCs w:val="21"/>
        </w:rPr>
      </w:pPr>
    </w:p>
    <w:p>
      <w:pPr>
        <w:spacing w:line="280" w:lineRule="exact"/>
        <w:rPr>
          <w:szCs w:val="21"/>
        </w:rPr>
      </w:pPr>
      <w:r>
        <w:rPr>
          <w:szCs w:val="21"/>
        </w:rPr>
        <w:t>法定代表人或代理人（签字或盖章）：</w:t>
      </w:r>
    </w:p>
    <w:p>
      <w:pPr>
        <w:spacing w:line="280" w:lineRule="exact"/>
        <w:rPr>
          <w:szCs w:val="21"/>
        </w:rPr>
      </w:pPr>
    </w:p>
    <w:p>
      <w:pPr>
        <w:spacing w:line="280" w:lineRule="exact"/>
        <w:jc w:val="right"/>
        <w:rPr>
          <w:szCs w:val="21"/>
        </w:rPr>
      </w:pPr>
      <w:r>
        <w:rPr>
          <w:szCs w:val="21"/>
        </w:rPr>
        <w:t>年  月  日</w:t>
      </w:r>
    </w:p>
    <w:p>
      <w:pPr>
        <w:spacing w:line="520" w:lineRule="exact"/>
        <w:ind w:firstLine="420" w:firstLineChars="200"/>
        <w:rPr>
          <w:szCs w:val="21"/>
        </w:rPr>
      </w:pPr>
    </w:p>
    <w:p>
      <w:pPr>
        <w:spacing w:line="520" w:lineRule="exact"/>
        <w:ind w:firstLine="360" w:firstLineChars="200"/>
        <w:rPr>
          <w:sz w:val="18"/>
          <w:szCs w:val="18"/>
        </w:rPr>
      </w:pPr>
    </w:p>
    <w:p>
      <w:pPr>
        <w:pStyle w:val="5"/>
        <w:overflowPunct w:val="0"/>
        <w:spacing w:line="500" w:lineRule="exact"/>
        <w:ind w:firstLine="0"/>
        <w:rPr>
          <w:rFonts w:ascii="Times New Roman"/>
          <w:sz w:val="18"/>
          <w:szCs w:val="18"/>
        </w:rPr>
      </w:pPr>
    </w:p>
    <w:p>
      <w:pPr>
        <w:pStyle w:val="5"/>
        <w:overflowPunct w:val="0"/>
        <w:spacing w:line="500" w:lineRule="exact"/>
        <w:ind w:firstLine="0"/>
        <w:rPr>
          <w:rFonts w:ascii="Times New Roman"/>
          <w:sz w:val="18"/>
          <w:szCs w:val="18"/>
        </w:rPr>
      </w:pPr>
    </w:p>
    <w:p>
      <w:pPr>
        <w:rPr>
          <w:szCs w:val="21"/>
        </w:rPr>
      </w:pPr>
    </w:p>
    <w:p>
      <w:pPr>
        <w:rPr>
          <w:szCs w:val="21"/>
        </w:rPr>
      </w:pPr>
    </w:p>
    <w:p>
      <w:pPr>
        <w:rPr>
          <w:szCs w:val="21"/>
        </w:rPr>
      </w:pPr>
    </w:p>
    <w:p>
      <w:pPr>
        <w:rPr>
          <w:szCs w:val="21"/>
        </w:rPr>
      </w:pPr>
    </w:p>
    <w:p>
      <w:pPr>
        <w:spacing w:line="520" w:lineRule="exact"/>
        <w:ind w:firstLine="420" w:firstLineChars="200"/>
        <w:rPr>
          <w:szCs w:val="21"/>
        </w:rPr>
      </w:pPr>
    </w:p>
    <w:p>
      <w:pPr>
        <w:spacing w:line="520" w:lineRule="exact"/>
        <w:ind w:firstLine="420" w:firstLineChars="200"/>
        <w:rPr>
          <w:szCs w:val="21"/>
        </w:rPr>
      </w:pPr>
    </w:p>
    <w:p>
      <w:pPr>
        <w:rPr>
          <w:szCs w:val="21"/>
        </w:rPr>
      </w:pPr>
    </w:p>
    <w:p>
      <w:pPr>
        <w:pStyle w:val="5"/>
        <w:overflowPunct w:val="0"/>
        <w:spacing w:line="500" w:lineRule="exact"/>
        <w:ind w:firstLine="0"/>
        <w:rPr>
          <w:rFonts w:ascii="Times New Roman"/>
          <w:sz w:val="21"/>
          <w:szCs w:val="21"/>
        </w:rPr>
      </w:pPr>
    </w:p>
    <w:p>
      <w:pPr>
        <w:pStyle w:val="5"/>
        <w:overflowPunct w:val="0"/>
        <w:spacing w:line="500" w:lineRule="exact"/>
        <w:ind w:firstLine="0"/>
        <w:rPr>
          <w:rFonts w:ascii="Times New Roman"/>
          <w:sz w:val="21"/>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pStyle w:val="5"/>
        <w:overflowPunct w:val="0"/>
        <w:spacing w:line="500" w:lineRule="exact"/>
        <w:ind w:firstLine="0"/>
        <w:rPr>
          <w:rFonts w:ascii="Times New Roman"/>
          <w:b/>
          <w:bCs/>
          <w:color w:val="000000"/>
          <w:sz w:val="30"/>
          <w:szCs w:val="30"/>
        </w:rPr>
      </w:pPr>
    </w:p>
    <w:p>
      <w:pPr>
        <w:pStyle w:val="5"/>
        <w:overflowPunct w:val="0"/>
        <w:spacing w:line="500" w:lineRule="exact"/>
        <w:ind w:firstLine="0"/>
        <w:rPr>
          <w:rFonts w:ascii="Times New Roman"/>
          <w:b/>
          <w:bCs/>
          <w:color w:val="000000"/>
          <w:sz w:val="30"/>
          <w:szCs w:val="30"/>
        </w:rPr>
      </w:pPr>
      <w:r>
        <w:rPr>
          <w:rFonts w:ascii="Times New Roman"/>
          <w:b/>
          <w:bCs/>
          <w:color w:val="000000"/>
          <w:sz w:val="30"/>
          <w:szCs w:val="30"/>
        </w:rPr>
        <w:t>附件六：服务承诺书</w:t>
      </w:r>
    </w:p>
    <w:p>
      <w:pPr>
        <w:pStyle w:val="3"/>
        <w:tabs>
          <w:tab w:val="left" w:pos="432"/>
        </w:tabs>
        <w:spacing w:line="480" w:lineRule="exact"/>
        <w:rPr>
          <w:rFonts w:ascii="Times New Roman" w:eastAsia="宋体"/>
          <w:b/>
          <w:bCs/>
          <w:color w:val="000000"/>
          <w:sz w:val="32"/>
          <w:szCs w:val="32"/>
        </w:rPr>
      </w:pPr>
    </w:p>
    <w:p>
      <w:pPr>
        <w:pStyle w:val="3"/>
        <w:tabs>
          <w:tab w:val="left" w:pos="432"/>
        </w:tabs>
        <w:spacing w:line="480" w:lineRule="exact"/>
        <w:rPr>
          <w:rFonts w:ascii="Times New Roman" w:eastAsia="宋体"/>
          <w:b/>
          <w:bCs/>
          <w:color w:val="000000"/>
          <w:sz w:val="32"/>
          <w:szCs w:val="32"/>
        </w:rPr>
      </w:pPr>
      <w:r>
        <w:rPr>
          <w:rFonts w:ascii="Times New Roman" w:eastAsia="宋体"/>
          <w:b/>
          <w:bCs/>
          <w:color w:val="000000"/>
          <w:sz w:val="32"/>
          <w:szCs w:val="32"/>
        </w:rPr>
        <w:t>服务承诺书</w:t>
      </w:r>
    </w:p>
    <w:p>
      <w:pPr>
        <w:spacing w:line="360" w:lineRule="auto"/>
        <w:rPr>
          <w:sz w:val="24"/>
        </w:rPr>
      </w:pPr>
    </w:p>
    <w:p>
      <w:pPr>
        <w:spacing w:line="360" w:lineRule="auto"/>
        <w:rPr>
          <w:color w:val="000000"/>
          <w:sz w:val="24"/>
        </w:rPr>
      </w:pPr>
    </w:p>
    <w:p>
      <w:pPr>
        <w:spacing w:line="360" w:lineRule="auto"/>
        <w:ind w:firstLine="2160" w:firstLineChars="900"/>
        <w:rPr>
          <w:color w:val="000000"/>
          <w:sz w:val="24"/>
        </w:rPr>
      </w:pPr>
    </w:p>
    <w:p>
      <w:pPr>
        <w:spacing w:line="360" w:lineRule="auto"/>
        <w:rPr>
          <w:color w:val="000000"/>
          <w:sz w:val="24"/>
        </w:rPr>
      </w:pPr>
      <w:r>
        <w:rPr>
          <w:color w:val="000000"/>
          <w:sz w:val="24"/>
        </w:rPr>
        <w:t>售后服务承诺如下：</w:t>
      </w:r>
    </w:p>
    <w:p>
      <w:pPr>
        <w:spacing w:line="360" w:lineRule="auto"/>
        <w:rPr>
          <w:sz w:val="24"/>
        </w:rPr>
      </w:pPr>
    </w:p>
    <w:p>
      <w:pPr>
        <w:spacing w:line="360" w:lineRule="auto"/>
        <w:rPr>
          <w:sz w:val="24"/>
        </w:rPr>
      </w:pPr>
    </w:p>
    <w:p>
      <w:pPr>
        <w:spacing w:line="360" w:lineRule="auto"/>
        <w:rPr>
          <w:sz w:val="24"/>
        </w:rPr>
      </w:pPr>
    </w:p>
    <w:p>
      <w:pPr>
        <w:pStyle w:val="37"/>
        <w:ind w:firstLine="480"/>
        <w:rPr>
          <w:rFonts w:ascii="Times New Roman" w:hAnsi="Times New Roman"/>
          <w:szCs w:val="24"/>
        </w:rPr>
      </w:pPr>
    </w:p>
    <w:p>
      <w:pPr>
        <w:rPr>
          <w:sz w:val="24"/>
        </w:rPr>
      </w:pPr>
    </w:p>
    <w:p>
      <w:pPr>
        <w:pStyle w:val="37"/>
        <w:ind w:firstLine="480"/>
        <w:rPr>
          <w:rFonts w:ascii="Times New Roman" w:hAnsi="Times New Roman"/>
        </w:rPr>
      </w:pPr>
    </w:p>
    <w:p>
      <w:pPr>
        <w:pStyle w:val="5"/>
        <w:overflowPunct w:val="0"/>
        <w:spacing w:line="500" w:lineRule="exact"/>
        <w:rPr>
          <w:rFonts w:ascii="Times New Roman"/>
          <w:color w:val="000000"/>
        </w:rPr>
      </w:pPr>
      <w:r>
        <w:rPr>
          <w:rFonts w:ascii="Times New Roman"/>
        </w:rPr>
        <w:t xml:space="preserve">                           </w:t>
      </w:r>
      <w:r>
        <w:rPr>
          <w:rFonts w:ascii="Times New Roman"/>
          <w:color w:val="000000"/>
        </w:rPr>
        <w:t xml:space="preserve"> 竞标单位（盖章）：</w:t>
      </w:r>
    </w:p>
    <w:p>
      <w:pPr>
        <w:pStyle w:val="5"/>
        <w:overflowPunct w:val="0"/>
        <w:spacing w:line="500" w:lineRule="exact"/>
        <w:rPr>
          <w:rFonts w:ascii="Times New Roman"/>
          <w:color w:val="000000"/>
        </w:rPr>
      </w:pPr>
      <w:r>
        <w:rPr>
          <w:rFonts w:ascii="Times New Roman"/>
          <w:color w:val="000000"/>
        </w:rPr>
        <w:t xml:space="preserve">                            法定代表人或委托代理人（签字或盖章）：</w:t>
      </w:r>
    </w:p>
    <w:p>
      <w:pPr>
        <w:pStyle w:val="5"/>
        <w:overflowPunct w:val="0"/>
        <w:spacing w:line="500" w:lineRule="exact"/>
        <w:rPr>
          <w:rFonts w:ascii="Times New Roman"/>
          <w:color w:val="000000"/>
        </w:rPr>
      </w:pPr>
      <w:r>
        <w:rPr>
          <w:rFonts w:ascii="Times New Roman"/>
          <w:color w:val="000000"/>
        </w:rPr>
        <w:t xml:space="preserve">                            日 期：</w:t>
      </w:r>
    </w:p>
    <w:p>
      <w:pPr>
        <w:rPr>
          <w:szCs w:val="21"/>
        </w:rPr>
      </w:pPr>
    </w:p>
    <w:p>
      <w:pPr>
        <w:rPr>
          <w:szCs w:val="21"/>
        </w:rPr>
      </w:pPr>
    </w:p>
    <w:p>
      <w:pPr>
        <w:pStyle w:val="4"/>
        <w:spacing w:line="520" w:lineRule="exact"/>
        <w:rPr>
          <w:sz w:val="28"/>
          <w:szCs w:val="28"/>
        </w:rPr>
      </w:pPr>
      <w:bookmarkStart w:id="45" w:name="_Toc331061679"/>
      <w:bookmarkStart w:id="46" w:name="_Toc330998570"/>
      <w:bookmarkStart w:id="47" w:name="_Toc331056458"/>
    </w:p>
    <w:p>
      <w:pPr>
        <w:pStyle w:val="4"/>
        <w:spacing w:line="520" w:lineRule="exact"/>
        <w:rPr>
          <w:sz w:val="28"/>
          <w:szCs w:val="28"/>
        </w:rPr>
      </w:pPr>
    </w:p>
    <w:p>
      <w:pPr>
        <w:pStyle w:val="4"/>
        <w:spacing w:line="520" w:lineRule="exact"/>
        <w:rPr>
          <w:sz w:val="28"/>
          <w:szCs w:val="28"/>
        </w:rPr>
      </w:pPr>
    </w:p>
    <w:p>
      <w:pPr>
        <w:pStyle w:val="4"/>
        <w:spacing w:line="520" w:lineRule="exact"/>
        <w:rPr>
          <w:sz w:val="28"/>
          <w:szCs w:val="28"/>
        </w:rPr>
      </w:pPr>
    </w:p>
    <w:bookmarkEnd w:id="45"/>
    <w:bookmarkEnd w:id="46"/>
    <w:bookmarkEnd w:id="47"/>
    <w:p>
      <w:pPr>
        <w:spacing w:line="520" w:lineRule="exact"/>
        <w:ind w:firstLine="420" w:firstLineChars="200"/>
        <w:jc w:val="center"/>
        <w:rPr>
          <w:szCs w:val="21"/>
        </w:rPr>
      </w:pPr>
    </w:p>
    <w:p>
      <w:pPr>
        <w:spacing w:line="520" w:lineRule="exact"/>
        <w:ind w:firstLine="420" w:firstLineChars="200"/>
        <w:jc w:val="center"/>
        <w:rPr>
          <w:szCs w:val="21"/>
        </w:rPr>
      </w:pPr>
    </w:p>
    <w:p>
      <w:pPr>
        <w:spacing w:line="520" w:lineRule="exact"/>
        <w:rPr>
          <w:szCs w:val="21"/>
        </w:rPr>
      </w:pPr>
    </w:p>
    <w:p>
      <w:pPr>
        <w:spacing w:line="520" w:lineRule="exact"/>
        <w:rPr>
          <w:szCs w:val="21"/>
        </w:rPr>
      </w:pPr>
    </w:p>
    <w:p>
      <w:pPr>
        <w:spacing w:line="520" w:lineRule="exact"/>
        <w:rPr>
          <w:szCs w:val="21"/>
        </w:rPr>
      </w:pPr>
    </w:p>
    <w:p>
      <w:pPr>
        <w:spacing w:line="360" w:lineRule="auto"/>
        <w:outlineLvl w:val="0"/>
        <w:rPr>
          <w:b/>
          <w:sz w:val="30"/>
          <w:szCs w:val="30"/>
        </w:rPr>
      </w:pPr>
    </w:p>
    <w:p>
      <w:pPr>
        <w:spacing w:line="360" w:lineRule="auto"/>
        <w:outlineLvl w:val="0"/>
        <w:rPr>
          <w:b/>
          <w:sz w:val="28"/>
          <w:szCs w:val="28"/>
        </w:rPr>
      </w:pPr>
      <w:r>
        <w:rPr>
          <w:b/>
          <w:sz w:val="30"/>
          <w:szCs w:val="30"/>
        </w:rPr>
        <w:t>附件七：未被“信用中国”网站（WWW.creditchina.gov.cn）、“中国政府采购网”网站（www.ccgp.gov.cn）列入失信被执行人、重大税收违法案件当事人名单、政府采购严重失信行为记录名单范本格式</w:t>
      </w:r>
    </w:p>
    <w:p>
      <w:pPr>
        <w:spacing w:line="600" w:lineRule="exact"/>
        <w:ind w:firstLine="562" w:firstLineChars="200"/>
        <w:rPr>
          <w:sz w:val="28"/>
          <w:szCs w:val="28"/>
        </w:rPr>
      </w:pPr>
      <w:r>
        <w:rPr>
          <w:b/>
          <w:bCs/>
          <w:sz w:val="28"/>
          <w:szCs w:val="28"/>
        </w:rPr>
        <w:t>步骤一：</w:t>
      </w:r>
      <w:r>
        <w:rPr>
          <w:sz w:val="28"/>
          <w:szCs w:val="28"/>
        </w:rPr>
        <w:t>各竞标单位在信用中国网站输入单位全称，点击查询按钮后，页面弹出相关单位信息。</w:t>
      </w:r>
    </w:p>
    <w:p>
      <w:pPr>
        <w:spacing w:line="600" w:lineRule="exact"/>
        <w:ind w:firstLine="562" w:firstLineChars="200"/>
        <w:rPr>
          <w:sz w:val="28"/>
          <w:szCs w:val="28"/>
        </w:rPr>
      </w:pPr>
      <w:r>
        <w:rPr>
          <w:b/>
          <w:bCs/>
          <w:sz w:val="28"/>
          <w:szCs w:val="28"/>
        </w:rPr>
        <w:t>步骤二：</w:t>
      </w:r>
      <w:r>
        <w:rPr>
          <w:sz w:val="28"/>
          <w:szCs w:val="28"/>
        </w:rPr>
        <w:t>各竞标单位必须在步骤一显示页面的筛选区域分别点击“失信被执行人”、“重大税收违法案件当事人名单”及“政府采购严重违法失信名单”栏目，并在点击相应栏目后按“图1-图5”格式进行截图，图片显示内容必须清晰可辨。</w:t>
      </w:r>
    </w:p>
    <w:p>
      <w:pPr>
        <w:spacing w:line="600" w:lineRule="exact"/>
        <w:ind w:firstLine="562" w:firstLineChars="200"/>
        <w:rPr>
          <w:sz w:val="28"/>
          <w:szCs w:val="28"/>
        </w:rPr>
      </w:pPr>
      <w:r>
        <w:rPr>
          <w:b/>
          <w:bCs/>
          <w:sz w:val="28"/>
          <w:szCs w:val="28"/>
        </w:rPr>
        <w:t>步骤三：</w:t>
      </w:r>
      <w:r>
        <w:rPr>
          <w:sz w:val="28"/>
          <w:szCs w:val="28"/>
        </w:rPr>
        <w:t>各竞标单位必须在步骤一显示的页面，点击本项目竞标单位的名称后进入相关页面，并按“图4”格式进行截图，图片显示内容必须清晰可辨。</w:t>
      </w:r>
    </w:p>
    <w:p>
      <w:pPr>
        <w:spacing w:line="600" w:lineRule="exact"/>
        <w:ind w:firstLine="560" w:firstLineChars="200"/>
        <w:rPr>
          <w:sz w:val="28"/>
          <w:szCs w:val="28"/>
        </w:rPr>
      </w:pPr>
      <w:r>
        <w:rPr>
          <w:sz w:val="28"/>
          <w:szCs w:val="28"/>
        </w:rPr>
        <w:t>以“常州市恒卓建设工程管理咨询有限公司”为例，各竞标单位在编制响应文件时必须按如下范本“图1-图5”进行操作。各竞标单位在编制文件时，截取的相关图片必须页面横向排版并合理缩放，每张图片均须加盖公章。排版时尽量一张A4纸横向排版、打印一张图片。</w:t>
      </w:r>
    </w:p>
    <w:p>
      <w:pPr>
        <w:widowControl/>
        <w:jc w:val="left"/>
      </w:pPr>
      <w:r>
        <w:drawing>
          <wp:inline distT="0" distB="0" distL="114300" distR="114300">
            <wp:extent cx="5727065" cy="3060700"/>
            <wp:effectExtent l="0" t="0" r="3175" b="2540"/>
            <wp:docPr id="6" name="图片 1" descr="QQ图片2020010921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QQ图片20200109211747"/>
                    <pic:cNvPicPr>
                      <a:picLocks noChangeAspect="1"/>
                    </pic:cNvPicPr>
                  </pic:nvPicPr>
                  <pic:blipFill>
                    <a:blip r:embed="rId7"/>
                    <a:stretch>
                      <a:fillRect/>
                    </a:stretch>
                  </pic:blipFill>
                  <pic:spPr>
                    <a:xfrm>
                      <a:off x="0" y="0"/>
                      <a:ext cx="5727065" cy="3060700"/>
                    </a:xfrm>
                    <a:prstGeom prst="rect">
                      <a:avLst/>
                    </a:prstGeom>
                    <a:noFill/>
                    <a:ln>
                      <a:noFill/>
                    </a:ln>
                  </pic:spPr>
                </pic:pic>
              </a:graphicData>
            </a:graphic>
          </wp:inline>
        </w:drawing>
      </w:r>
    </w:p>
    <w:p>
      <w:pPr>
        <w:pStyle w:val="2"/>
        <w:rPr>
          <w:b/>
          <w:bCs/>
          <w:sz w:val="28"/>
          <w:szCs w:val="28"/>
        </w:rPr>
      </w:pPr>
      <w:bookmarkStart w:id="48" w:name="_Toc6184_WPSOffice_Level1"/>
    </w:p>
    <w:p>
      <w:pPr>
        <w:pStyle w:val="2"/>
        <w:rPr>
          <w:b/>
          <w:bCs/>
          <w:sz w:val="28"/>
          <w:szCs w:val="28"/>
        </w:rPr>
      </w:pPr>
      <w:r>
        <w:rPr>
          <w:b/>
          <w:bCs/>
          <w:sz w:val="28"/>
          <w:szCs w:val="28"/>
        </w:rPr>
        <w:t>图1（失信被执行人范本）</w:t>
      </w:r>
      <w:bookmarkEnd w:id="48"/>
    </w:p>
    <w:p>
      <w:pPr>
        <w:widowControl/>
        <w:jc w:val="center"/>
      </w:pPr>
      <w:r>
        <w:rPr>
          <w:kern w:val="0"/>
          <w:sz w:val="24"/>
        </w:rPr>
        <w:drawing>
          <wp:inline distT="0" distB="0" distL="114300" distR="114300">
            <wp:extent cx="6070600" cy="3239135"/>
            <wp:effectExtent l="0" t="0" r="10160" b="6985"/>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8"/>
                    <a:stretch>
                      <a:fillRect/>
                    </a:stretch>
                  </pic:blipFill>
                  <pic:spPr>
                    <a:xfrm>
                      <a:off x="0" y="0"/>
                      <a:ext cx="6070600" cy="3239135"/>
                    </a:xfrm>
                    <a:prstGeom prst="rect">
                      <a:avLst/>
                    </a:prstGeom>
                    <a:noFill/>
                    <a:ln>
                      <a:noFill/>
                    </a:ln>
                  </pic:spPr>
                </pic:pic>
              </a:graphicData>
            </a:graphic>
          </wp:inline>
        </w:drawing>
      </w:r>
    </w:p>
    <w:p/>
    <w:p>
      <w:pPr>
        <w:rPr>
          <w:b/>
          <w:bCs/>
          <w:sz w:val="28"/>
          <w:szCs w:val="28"/>
        </w:rPr>
      </w:pPr>
      <w:bookmarkStart w:id="49" w:name="_Toc5804_WPSOffice_Level1"/>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r>
        <w:rPr>
          <w:b/>
          <w:bCs/>
          <w:sz w:val="28"/>
          <w:szCs w:val="28"/>
        </w:rPr>
        <w:t>图2（企业经营异常名录）</w:t>
      </w:r>
      <w:bookmarkEnd w:id="49"/>
    </w:p>
    <w:p>
      <w:pPr>
        <w:widowControl/>
        <w:jc w:val="left"/>
      </w:pPr>
      <w:r>
        <w:rPr>
          <w:kern w:val="0"/>
          <w:sz w:val="24"/>
        </w:rPr>
        <w:drawing>
          <wp:inline distT="0" distB="0" distL="114300" distR="114300">
            <wp:extent cx="6049010" cy="3331845"/>
            <wp:effectExtent l="0" t="0" r="1270" b="5715"/>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9"/>
                    <a:stretch>
                      <a:fillRect/>
                    </a:stretch>
                  </pic:blipFill>
                  <pic:spPr>
                    <a:xfrm>
                      <a:off x="0" y="0"/>
                      <a:ext cx="6049010" cy="3331845"/>
                    </a:xfrm>
                    <a:prstGeom prst="rect">
                      <a:avLst/>
                    </a:prstGeom>
                    <a:noFill/>
                    <a:ln>
                      <a:noFill/>
                    </a:ln>
                  </pic:spPr>
                </pic:pic>
              </a:graphicData>
            </a:graphic>
          </wp:inline>
        </w:drawing>
      </w:r>
    </w:p>
    <w:p/>
    <w:p>
      <w:pPr>
        <w:pStyle w:val="2"/>
      </w:pPr>
    </w:p>
    <w:p>
      <w:pPr>
        <w:rPr>
          <w:b/>
          <w:bCs/>
          <w:sz w:val="28"/>
          <w:szCs w:val="28"/>
        </w:rPr>
      </w:pPr>
      <w:r>
        <w:rPr>
          <w:b/>
          <w:bCs/>
          <w:sz w:val="28"/>
          <w:szCs w:val="28"/>
        </w:rPr>
        <w:t>图3（重大税收违法案件当事人黑名单范本）</w:t>
      </w:r>
    </w:p>
    <w:p>
      <w:pPr>
        <w:widowControl/>
        <w:jc w:val="left"/>
      </w:pPr>
      <w:r>
        <w:rPr>
          <w:kern w:val="0"/>
          <w:sz w:val="24"/>
        </w:rPr>
        <w:drawing>
          <wp:inline distT="0" distB="0" distL="114300" distR="114300">
            <wp:extent cx="5819775" cy="3122295"/>
            <wp:effectExtent l="0" t="0" r="1905" b="1905"/>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10"/>
                    <a:stretch>
                      <a:fillRect/>
                    </a:stretch>
                  </pic:blipFill>
                  <pic:spPr>
                    <a:xfrm>
                      <a:off x="0" y="0"/>
                      <a:ext cx="5819775" cy="3122295"/>
                    </a:xfrm>
                    <a:prstGeom prst="rect">
                      <a:avLst/>
                    </a:prstGeom>
                    <a:noFill/>
                    <a:ln>
                      <a:noFill/>
                    </a:ln>
                  </pic:spPr>
                </pic:pic>
              </a:graphicData>
            </a:graphic>
          </wp:inline>
        </w:drawing>
      </w:r>
    </w:p>
    <w:p/>
    <w:p>
      <w:pPr>
        <w:pStyle w:val="2"/>
      </w:pPr>
    </w:p>
    <w:p>
      <w:pPr>
        <w:pStyle w:val="21"/>
        <w:ind w:firstLine="559"/>
        <w:rPr>
          <w:b/>
          <w:bCs/>
          <w:sz w:val="28"/>
          <w:szCs w:val="28"/>
        </w:rPr>
      </w:pPr>
    </w:p>
    <w:p>
      <w:pPr>
        <w:rPr>
          <w:b/>
          <w:bCs/>
          <w:sz w:val="28"/>
          <w:szCs w:val="28"/>
        </w:rPr>
      </w:pPr>
    </w:p>
    <w:p>
      <w:pPr>
        <w:pStyle w:val="8"/>
        <w:rPr>
          <w:rFonts w:ascii="Times New Roman" w:hAnsi="Times New Roman"/>
        </w:rPr>
      </w:pPr>
    </w:p>
    <w:p>
      <w:pPr>
        <w:pStyle w:val="21"/>
        <w:ind w:firstLine="559"/>
        <w:rPr>
          <w:b/>
          <w:bCs/>
          <w:sz w:val="28"/>
          <w:szCs w:val="28"/>
        </w:rPr>
      </w:pPr>
    </w:p>
    <w:p>
      <w:pPr>
        <w:pStyle w:val="21"/>
        <w:ind w:firstLine="559"/>
        <w:rPr>
          <w:b/>
          <w:bCs/>
          <w:sz w:val="28"/>
          <w:szCs w:val="28"/>
        </w:rPr>
      </w:pPr>
      <w:r>
        <w:rPr>
          <w:b/>
          <w:bCs/>
          <w:sz w:val="28"/>
          <w:szCs w:val="28"/>
        </w:rPr>
        <w:t>图4（相关基本信息范本）</w:t>
      </w:r>
    </w:p>
    <w:p>
      <w:r>
        <w:drawing>
          <wp:inline distT="0" distB="0" distL="114300" distR="114300">
            <wp:extent cx="5332095" cy="2771775"/>
            <wp:effectExtent l="0" t="0" r="1905" b="190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1"/>
                    <a:stretch>
                      <a:fillRect/>
                    </a:stretch>
                  </pic:blipFill>
                  <pic:spPr>
                    <a:xfrm>
                      <a:off x="0" y="0"/>
                      <a:ext cx="5332095" cy="2771775"/>
                    </a:xfrm>
                    <a:prstGeom prst="rect">
                      <a:avLst/>
                    </a:prstGeom>
                    <a:noFill/>
                    <a:ln>
                      <a:noFill/>
                    </a:ln>
                  </pic:spPr>
                </pic:pic>
              </a:graphicData>
            </a:graphic>
          </wp:inline>
        </w:drawing>
      </w:r>
    </w:p>
    <w:p>
      <w:pPr>
        <w:pStyle w:val="2"/>
      </w:pPr>
    </w:p>
    <w:p>
      <w:pPr>
        <w:pStyle w:val="21"/>
        <w:ind w:firstLine="559"/>
        <w:rPr>
          <w:b/>
          <w:bCs/>
          <w:sz w:val="28"/>
          <w:szCs w:val="28"/>
        </w:rPr>
      </w:pPr>
    </w:p>
    <w:p>
      <w:pPr>
        <w:pStyle w:val="21"/>
        <w:ind w:firstLine="559"/>
        <w:rPr>
          <w:b/>
          <w:bCs/>
          <w:sz w:val="28"/>
          <w:szCs w:val="28"/>
        </w:rPr>
      </w:pPr>
      <w:r>
        <w:rPr>
          <w:b/>
          <w:bCs/>
          <w:sz w:val="28"/>
          <w:szCs w:val="28"/>
        </w:rPr>
        <w:t>图5（政府采购严重失信行为记录名单范本）</w:t>
      </w:r>
    </w:p>
    <w:p>
      <w:pPr>
        <w:widowControl/>
        <w:jc w:val="left"/>
      </w:pPr>
      <w:r>
        <w:rPr>
          <w:kern w:val="0"/>
          <w:sz w:val="24"/>
          <w:lang w:bidi="ar"/>
        </w:rPr>
        <w:fldChar w:fldCharType="begin"/>
      </w:r>
      <w:r>
        <w:instrText xml:space="preserve"> INCLUDEPICTURE "C:\\Users\\w5jenne\\Documents\\WeChat Files\\wxid_2ydh2f9h5xrl22\\FileStorage\\File\\Documents\\WeChat Files\\wxid_2ydh2f9h5xrl22\\FileStorage\\File\\Documents\\WeChat Files\\Administrator\\AppData\\Roaming\\Tencent\\Users\\295076508\\QQ\\WinTemp\\RichOle\\3%5dPK%60%5dRI%259053I%5b)K~H3N%7bG.png" \* MERGEFORMAT \d </w:instrText>
      </w:r>
      <w:r>
        <w:rPr>
          <w:kern w:val="0"/>
          <w:sz w:val="24"/>
          <w:lang w:bidi="ar"/>
        </w:rPr>
        <w:fldChar w:fldCharType="separate"/>
      </w:r>
      <w:r>
        <w:rPr>
          <w:kern w:val="0"/>
          <w:sz w:val="24"/>
        </w:rPr>
        <w:drawing>
          <wp:inline distT="0" distB="0" distL="114300" distR="114300">
            <wp:extent cx="5744210" cy="4243070"/>
            <wp:effectExtent l="0" t="0" r="1270" b="8890"/>
            <wp:docPr id="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56"/>
                    <pic:cNvPicPr>
                      <a:picLocks noChangeAspect="1"/>
                    </pic:cNvPicPr>
                  </pic:nvPicPr>
                  <pic:blipFill>
                    <a:blip r:embed="rId12"/>
                    <a:stretch>
                      <a:fillRect/>
                    </a:stretch>
                  </pic:blipFill>
                  <pic:spPr>
                    <a:xfrm>
                      <a:off x="0" y="0"/>
                      <a:ext cx="5744210" cy="4243070"/>
                    </a:xfrm>
                    <a:prstGeom prst="rect">
                      <a:avLst/>
                    </a:prstGeom>
                    <a:noFill/>
                    <a:ln>
                      <a:noFill/>
                    </a:ln>
                  </pic:spPr>
                </pic:pic>
              </a:graphicData>
            </a:graphic>
          </wp:inline>
        </w:drawing>
      </w:r>
      <w:r>
        <w:rPr>
          <w:kern w:val="0"/>
          <w:sz w:val="24"/>
          <w:lang w:bidi="ar"/>
        </w:rPr>
        <w:fldChar w:fldCharType="end"/>
      </w:r>
    </w:p>
    <w:p/>
    <w:p>
      <w:pPr>
        <w:pStyle w:val="21"/>
        <w:ind w:firstLine="419"/>
      </w:pPr>
    </w:p>
    <w:p/>
    <w:p>
      <w:pPr>
        <w:pStyle w:val="8"/>
        <w:rPr>
          <w:rFonts w:ascii="Times New Roman" w:hAnsi="Times New Roman"/>
        </w:rPr>
      </w:pPr>
    </w:p>
    <w:p/>
    <w:p>
      <w:pPr>
        <w:pStyle w:val="8"/>
        <w:rPr>
          <w:rFonts w:ascii="Times New Roman" w:hAnsi="Times New Roman"/>
        </w:rPr>
      </w:pPr>
    </w:p>
    <w:p>
      <w:pPr>
        <w:widowControl/>
        <w:jc w:val="left"/>
        <w:rPr>
          <w:kern w:val="0"/>
          <w:sz w:val="24"/>
          <w:lang w:bidi="ar"/>
        </w:rPr>
      </w:pPr>
      <w:r>
        <w:rPr>
          <w:kern w:val="0"/>
          <w:sz w:val="24"/>
          <w:lang w:bidi="ar"/>
        </w:rPr>
        <w:fldChar w:fldCharType="begin"/>
      </w:r>
      <w:r>
        <w:instrText xml:space="preserve"> INCLUDEPICTURE "C:\\Users\\w5jenne\\Documents\\WeChat Files\\wxid_2ydh2f9h5xrl22\\FileStorage\\File\\Documents\\WeChat Files\\wxid_2ydh2f9h5xrl22\\FileStorage\\File\\Documents\\WeChat Files\\Administrator\\AppData\\Roaming\\Tencent\\Users\\295076508\\QQ\\WinTemp\\RichOle\\)RSBO~E1GS%25PNMO676NU%7bE6.png" \* MERGEFORMAT \d </w:instrText>
      </w:r>
      <w:r>
        <w:rPr>
          <w:kern w:val="0"/>
          <w:sz w:val="24"/>
          <w:lang w:bidi="ar"/>
        </w:rPr>
        <w:fldChar w:fldCharType="separate"/>
      </w:r>
      <w:r>
        <w:rPr>
          <w:kern w:val="0"/>
          <w:sz w:val="24"/>
        </w:rPr>
        <w:drawing>
          <wp:inline distT="0" distB="0" distL="114300" distR="114300">
            <wp:extent cx="5785485" cy="2611755"/>
            <wp:effectExtent l="0" t="0" r="5715" b="9525"/>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13"/>
                    <a:stretch>
                      <a:fillRect/>
                    </a:stretch>
                  </pic:blipFill>
                  <pic:spPr>
                    <a:xfrm>
                      <a:off x="0" y="0"/>
                      <a:ext cx="5785485" cy="2611755"/>
                    </a:xfrm>
                    <a:prstGeom prst="rect">
                      <a:avLst/>
                    </a:prstGeom>
                    <a:noFill/>
                    <a:ln>
                      <a:noFill/>
                    </a:ln>
                  </pic:spPr>
                </pic:pic>
              </a:graphicData>
            </a:graphic>
          </wp:inline>
        </w:drawing>
      </w:r>
      <w:r>
        <w:rPr>
          <w:kern w:val="0"/>
          <w:sz w:val="24"/>
          <w:lang w:bidi="ar"/>
        </w:rPr>
        <w:fldChar w:fldCharType="end"/>
      </w:r>
    </w:p>
    <w:p>
      <w:pPr>
        <w:pStyle w:val="2"/>
        <w:rPr>
          <w:kern w:val="0"/>
          <w:sz w:val="24"/>
          <w:lang w:bidi="ar"/>
        </w:rPr>
      </w:pPr>
    </w:p>
    <w:p/>
    <w:p>
      <w:pPr>
        <w:pStyle w:val="21"/>
        <w:ind w:firstLine="419"/>
      </w:pPr>
    </w:p>
    <w:p>
      <w:r>
        <w:drawing>
          <wp:inline distT="0" distB="0" distL="114300" distR="114300">
            <wp:extent cx="5730875" cy="3590925"/>
            <wp:effectExtent l="0" t="0" r="14605" b="5715"/>
            <wp:docPr id="7" name="图片 8" descr="5da10d1d070020c943fffc7b209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5da10d1d070020c943fffc7b2093462"/>
                    <pic:cNvPicPr>
                      <a:picLocks noChangeAspect="1"/>
                    </pic:cNvPicPr>
                  </pic:nvPicPr>
                  <pic:blipFill>
                    <a:blip r:embed="rId14"/>
                    <a:stretch>
                      <a:fillRect/>
                    </a:stretch>
                  </pic:blipFill>
                  <pic:spPr>
                    <a:xfrm>
                      <a:off x="0" y="0"/>
                      <a:ext cx="5730875" cy="3590925"/>
                    </a:xfrm>
                    <a:prstGeom prst="rect">
                      <a:avLst/>
                    </a:prstGeom>
                    <a:noFill/>
                    <a:ln>
                      <a:noFill/>
                    </a:ln>
                  </pic:spPr>
                </pic:pic>
              </a:graphicData>
            </a:graphic>
          </wp:inline>
        </w:drawing>
      </w:r>
    </w:p>
    <w:p/>
    <w:p/>
    <w:p>
      <w:pPr>
        <w:pStyle w:val="2"/>
      </w:pPr>
    </w:p>
    <w:p/>
    <w:p>
      <w:pPr>
        <w:pStyle w:val="4"/>
      </w:pPr>
    </w:p>
    <w:p>
      <w:pPr>
        <w:pStyle w:val="2"/>
      </w:pPr>
    </w:p>
    <w:p/>
    <w:p/>
    <w:p>
      <w:pPr>
        <w:pStyle w:val="3"/>
        <w:rPr>
          <w:rFonts w:ascii="Times New Roman" w:eastAsia="宋体"/>
          <w:color w:val="000000"/>
        </w:rPr>
      </w:pPr>
      <w:bookmarkStart w:id="50" w:name="_Toc17534523"/>
      <w:r>
        <w:rPr>
          <w:rFonts w:ascii="Times New Roman" w:eastAsia="宋体"/>
          <w:b/>
          <w:bCs/>
          <w:color w:val="000000"/>
          <w:sz w:val="30"/>
          <w:szCs w:val="30"/>
        </w:rPr>
        <w:t>友 情 提 醒</w:t>
      </w:r>
      <w:bookmarkEnd w:id="50"/>
    </w:p>
    <w:p>
      <w:pPr>
        <w:spacing w:line="520" w:lineRule="exact"/>
        <w:rPr>
          <w:color w:val="000000"/>
          <w:sz w:val="24"/>
        </w:rPr>
      </w:pPr>
      <w:r>
        <w:rPr>
          <w:color w:val="000000"/>
          <w:sz w:val="24"/>
        </w:rPr>
        <w:t>各竞标单位：</w:t>
      </w:r>
    </w:p>
    <w:p>
      <w:pPr>
        <w:spacing w:line="520" w:lineRule="exact"/>
        <w:ind w:firstLine="480" w:firstLineChars="200"/>
        <w:rPr>
          <w:color w:val="000000"/>
          <w:sz w:val="24"/>
        </w:rPr>
      </w:pPr>
      <w:r>
        <w:rPr>
          <w:color w:val="000000"/>
          <w:sz w:val="24"/>
        </w:rPr>
        <w:t>您好！</w:t>
      </w:r>
    </w:p>
    <w:p>
      <w:pPr>
        <w:spacing w:line="520" w:lineRule="exact"/>
        <w:ind w:firstLine="480" w:firstLineChars="200"/>
        <w:rPr>
          <w:color w:val="000000"/>
          <w:sz w:val="24"/>
        </w:rPr>
      </w:pPr>
      <w:r>
        <w:rPr>
          <w:color w:val="000000"/>
          <w:sz w:val="24"/>
        </w:rPr>
        <w:t>为了提高贵单位的响应文件的有效性，减少不必要的无效投标，特友情提醒注意以下几点：</w:t>
      </w:r>
    </w:p>
    <w:p>
      <w:pPr>
        <w:spacing w:line="520" w:lineRule="exact"/>
        <w:ind w:firstLine="480" w:firstLineChars="200"/>
        <w:rPr>
          <w:color w:val="000000"/>
          <w:sz w:val="24"/>
        </w:rPr>
      </w:pPr>
      <w:r>
        <w:rPr>
          <w:color w:val="000000"/>
          <w:sz w:val="24"/>
        </w:rPr>
        <w:t>1.请谨记招标文件上表述的</w:t>
      </w:r>
      <w:r>
        <w:rPr>
          <w:b/>
          <w:color w:val="000000"/>
          <w:sz w:val="24"/>
        </w:rPr>
        <w:t>各项事宜时间节点</w:t>
      </w:r>
      <w:r>
        <w:rPr>
          <w:color w:val="000000"/>
          <w:sz w:val="24"/>
        </w:rPr>
        <w:t>，特别是</w:t>
      </w:r>
      <w:r>
        <w:rPr>
          <w:b/>
          <w:color w:val="000000"/>
          <w:sz w:val="24"/>
        </w:rPr>
        <w:t>开标时间和地点</w:t>
      </w:r>
      <w:r>
        <w:rPr>
          <w:color w:val="000000"/>
          <w:sz w:val="24"/>
        </w:rPr>
        <w:t>，迟到的将一律不能进入开标室</w:t>
      </w:r>
    </w:p>
    <w:p>
      <w:pPr>
        <w:spacing w:line="520" w:lineRule="exact"/>
        <w:ind w:firstLine="480" w:firstLineChars="200"/>
        <w:rPr>
          <w:color w:val="000000"/>
          <w:sz w:val="24"/>
        </w:rPr>
      </w:pPr>
      <w:r>
        <w:rPr>
          <w:color w:val="000000"/>
          <w:sz w:val="24"/>
        </w:rPr>
        <w:t>2.投标保证金一定要从</w:t>
      </w:r>
      <w:r>
        <w:rPr>
          <w:b/>
          <w:color w:val="000000"/>
          <w:sz w:val="24"/>
        </w:rPr>
        <w:t>竞标单位账户</w:t>
      </w:r>
      <w:r>
        <w:rPr>
          <w:color w:val="000000"/>
          <w:sz w:val="24"/>
        </w:rPr>
        <w:t>按招标文件规定的</w:t>
      </w:r>
      <w:r>
        <w:rPr>
          <w:b/>
          <w:color w:val="000000"/>
          <w:sz w:val="24"/>
        </w:rPr>
        <w:t>方式和时间</w:t>
      </w:r>
      <w:r>
        <w:rPr>
          <w:color w:val="000000"/>
          <w:sz w:val="24"/>
        </w:rPr>
        <w:t>缴至</w:t>
      </w:r>
      <w:r>
        <w:rPr>
          <w:b/>
          <w:color w:val="000000"/>
          <w:sz w:val="24"/>
        </w:rPr>
        <w:t>指定账户并到账</w:t>
      </w:r>
      <w:r>
        <w:rPr>
          <w:color w:val="000000"/>
          <w:sz w:val="24"/>
        </w:rPr>
        <w:t>，拒绝以其它方式缴纳，禁止第三方代缴保证金。</w:t>
      </w:r>
    </w:p>
    <w:p>
      <w:pPr>
        <w:spacing w:line="520" w:lineRule="exact"/>
        <w:ind w:firstLine="480" w:firstLineChars="200"/>
        <w:rPr>
          <w:color w:val="000000"/>
          <w:sz w:val="24"/>
        </w:rPr>
      </w:pPr>
      <w:r>
        <w:rPr>
          <w:color w:val="000000"/>
          <w:sz w:val="24"/>
        </w:rPr>
        <w:t>3.响应文件</w:t>
      </w:r>
      <w:r>
        <w:rPr>
          <w:b/>
          <w:color w:val="000000"/>
          <w:sz w:val="24"/>
        </w:rPr>
        <w:t>应按要求密封，U盘单独密封，</w:t>
      </w:r>
      <w:r>
        <w:rPr>
          <w:color w:val="000000"/>
          <w:sz w:val="24"/>
        </w:rPr>
        <w:t>并在封袋上加盖</w:t>
      </w:r>
      <w:r>
        <w:rPr>
          <w:b/>
          <w:color w:val="000000"/>
          <w:sz w:val="24"/>
        </w:rPr>
        <w:t>竞标单位公章</w:t>
      </w:r>
      <w:r>
        <w:rPr>
          <w:color w:val="000000"/>
          <w:sz w:val="24"/>
        </w:rPr>
        <w:t>。</w:t>
      </w:r>
    </w:p>
    <w:p>
      <w:pPr>
        <w:spacing w:line="520" w:lineRule="exact"/>
        <w:ind w:firstLine="480" w:firstLineChars="200"/>
        <w:rPr>
          <w:color w:val="000000"/>
          <w:sz w:val="24"/>
        </w:rPr>
      </w:pPr>
      <w:r>
        <w:rPr>
          <w:color w:val="000000"/>
          <w:sz w:val="24"/>
        </w:rPr>
        <w:t>4.响应文件中的证明文件及资料需提供复印件并加盖</w:t>
      </w:r>
      <w:r>
        <w:rPr>
          <w:b/>
          <w:color w:val="000000"/>
          <w:sz w:val="24"/>
        </w:rPr>
        <w:t>公章</w:t>
      </w:r>
      <w:r>
        <w:rPr>
          <w:color w:val="000000"/>
          <w:sz w:val="24"/>
        </w:rPr>
        <w:t>，有要求提供原件或公证件的必须将原件或公证件携带至开标现场备查或核查。</w:t>
      </w:r>
    </w:p>
    <w:p>
      <w:pPr>
        <w:spacing w:line="520" w:lineRule="exact"/>
        <w:ind w:firstLine="480" w:firstLineChars="200"/>
        <w:rPr>
          <w:color w:val="000000"/>
          <w:sz w:val="24"/>
        </w:rPr>
      </w:pPr>
      <w:r>
        <w:rPr>
          <w:color w:val="000000"/>
          <w:sz w:val="24"/>
        </w:rPr>
        <w:t>5.需要提供样品的，请严格按招标文件要求提供，同时注意</w:t>
      </w:r>
      <w:r>
        <w:rPr>
          <w:b/>
          <w:color w:val="000000"/>
          <w:sz w:val="24"/>
        </w:rPr>
        <w:t>密封、隐蔽</w:t>
      </w:r>
      <w:r>
        <w:rPr>
          <w:color w:val="000000"/>
          <w:sz w:val="24"/>
        </w:rPr>
        <w:t>标签的相关要求。</w:t>
      </w:r>
    </w:p>
    <w:p>
      <w:pPr>
        <w:spacing w:line="520" w:lineRule="exact"/>
        <w:ind w:firstLine="480" w:firstLineChars="200"/>
        <w:rPr>
          <w:color w:val="000000"/>
          <w:sz w:val="24"/>
        </w:rPr>
      </w:pPr>
      <w:r>
        <w:rPr>
          <w:color w:val="000000"/>
          <w:sz w:val="24"/>
        </w:rPr>
        <w:t>6.因招标文件文字表述有限，鼓励您</w:t>
      </w:r>
      <w:r>
        <w:rPr>
          <w:b/>
          <w:color w:val="000000"/>
          <w:sz w:val="24"/>
        </w:rPr>
        <w:t>现场踏勘</w:t>
      </w:r>
      <w:r>
        <w:rPr>
          <w:color w:val="000000"/>
          <w:sz w:val="24"/>
        </w:rPr>
        <w:t>，可以在投标前充分了解现场环境、项目进度和质量要求等信息，为贵单位有针对性的制作响应文件积累充分的原始资料。</w:t>
      </w:r>
    </w:p>
    <w:p>
      <w:pPr>
        <w:spacing w:line="520" w:lineRule="exact"/>
        <w:ind w:firstLine="480" w:firstLineChars="200"/>
        <w:rPr>
          <w:color w:val="000000"/>
          <w:sz w:val="24"/>
        </w:rPr>
      </w:pPr>
      <w:r>
        <w:rPr>
          <w:color w:val="000000"/>
          <w:sz w:val="24"/>
        </w:rPr>
        <w:t>7.设定</w:t>
      </w:r>
      <w:r>
        <w:rPr>
          <w:b/>
          <w:color w:val="000000"/>
          <w:sz w:val="24"/>
        </w:rPr>
        <w:t>最高限价</w:t>
      </w:r>
      <w:r>
        <w:rPr>
          <w:color w:val="000000"/>
          <w:sz w:val="24"/>
        </w:rPr>
        <w:t>的，超过限价一律废标。</w:t>
      </w:r>
    </w:p>
    <w:p>
      <w:pPr>
        <w:spacing w:line="520" w:lineRule="exact"/>
        <w:ind w:firstLine="480" w:firstLineChars="200"/>
        <w:rPr>
          <w:color w:val="000000"/>
          <w:sz w:val="24"/>
        </w:rPr>
      </w:pPr>
      <w:r>
        <w:rPr>
          <w:color w:val="000000"/>
          <w:sz w:val="24"/>
        </w:rPr>
        <w:t>8.请精心仔细</w:t>
      </w:r>
      <w:r>
        <w:rPr>
          <w:b/>
          <w:color w:val="000000"/>
          <w:sz w:val="24"/>
        </w:rPr>
        <w:t>审阅招标文件,特别是加粗部分的文字</w:t>
      </w:r>
      <w:r>
        <w:rPr>
          <w:color w:val="000000"/>
          <w:sz w:val="24"/>
        </w:rPr>
        <w:t>。如有疑问，请按招标文件要求进行询疑。</w:t>
      </w:r>
    </w:p>
    <w:p>
      <w:pPr>
        <w:spacing w:line="520" w:lineRule="exact"/>
        <w:ind w:firstLine="480" w:firstLineChars="200"/>
        <w:rPr>
          <w:color w:val="000000"/>
          <w:sz w:val="24"/>
        </w:rPr>
      </w:pPr>
    </w:p>
    <w:p>
      <w:pPr>
        <w:spacing w:line="520" w:lineRule="exact"/>
        <w:ind w:firstLine="480" w:firstLineChars="200"/>
        <w:rPr>
          <w:color w:val="000000"/>
          <w:sz w:val="24"/>
        </w:rPr>
      </w:pPr>
      <w:r>
        <w:rPr>
          <w:color w:val="000000"/>
          <w:sz w:val="24"/>
        </w:rPr>
        <w:t>我单位十分欢迎贵单位对招标采购组织工作提出宝贵意见和建议。电话：0519-83999568</w:t>
      </w:r>
    </w:p>
    <w:p>
      <w:pPr>
        <w:spacing w:line="520" w:lineRule="exact"/>
        <w:ind w:firstLine="480" w:firstLineChars="200"/>
        <w:rPr>
          <w:color w:val="000000"/>
          <w:sz w:val="24"/>
        </w:rPr>
      </w:pPr>
      <w:r>
        <w:rPr>
          <w:color w:val="000000"/>
          <w:sz w:val="24"/>
        </w:rPr>
        <w:t>最后祝贵单位投标成功！</w:t>
      </w:r>
    </w:p>
    <w:p>
      <w:pPr>
        <w:spacing w:line="520" w:lineRule="exact"/>
        <w:rPr>
          <w:color w:val="000000"/>
          <w:sz w:val="24"/>
        </w:rPr>
      </w:pPr>
    </w:p>
    <w:p>
      <w:pPr>
        <w:spacing w:line="520" w:lineRule="exact"/>
        <w:jc w:val="center"/>
        <w:rPr>
          <w:bCs/>
          <w:color w:val="000000"/>
          <w:sz w:val="24"/>
        </w:rPr>
      </w:pPr>
      <w:r>
        <w:rPr>
          <w:bCs/>
          <w:color w:val="000000"/>
          <w:sz w:val="24"/>
        </w:rPr>
        <w:t>本招标文件的最终解释权归常州市恒卓建设工程管理咨询有限公司所有。</w:t>
      </w:r>
    </w:p>
    <w:p>
      <w:pPr>
        <w:jc w:val="center"/>
      </w:pPr>
      <w:r>
        <w:rPr>
          <w:b/>
          <w:color w:val="000000"/>
          <w:sz w:val="32"/>
        </w:rPr>
        <w:t>（全文完）</w:t>
      </w:r>
    </w:p>
    <w:p/>
    <w:sectPr>
      <w:pgSz w:w="11906" w:h="16838"/>
      <w:pgMar w:top="1440" w:right="1440" w:bottom="1440" w:left="1440" w:header="851" w:footer="992" w:gutter="0"/>
      <w:cols w:space="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right" w:pos="8307"/>
        <w:tab w:val="clear" w:pos="8306"/>
      </w:tabs>
      <w:ind w:right="360" w:firstLine="360"/>
      <w:rPr>
        <w:rFonts w:ascii="仿宋_GB2312" w:hAnsi="宋体"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tabs>
                              <w:tab w:val="right" w:pos="8307"/>
                              <w:tab w:val="clear" w:pos="8306"/>
                            </w:tabs>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36</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14"/>
                      <w:tabs>
                        <w:tab w:val="right" w:pos="8307"/>
                        <w:tab w:val="clear" w:pos="8306"/>
                      </w:tabs>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36</w:t>
                    </w:r>
                    <w: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rPr>
        <w:sz w:val="20"/>
        <w:szCs w:val="20"/>
      </w:rPr>
    </w:pPr>
    <w:r>
      <w:rPr>
        <w:rFonts w:hint="eastAsia" w:ascii="宋体"/>
        <w:sz w:val="20"/>
        <w:szCs w:val="20"/>
      </w:rPr>
      <w:t>常州市恒卓建设工程管理咨询有限公司询价采购文件</w:t>
    </w:r>
  </w:p>
  <w:p>
    <w:pPr>
      <w:pStyle w:val="16"/>
      <w:pBdr>
        <w:bottom w:val="none" w:color="auto" w:sz="0" w:space="0"/>
      </w:pBdr>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1836420"/>
          <wp:effectExtent l="0" t="0" r="13970" b="7620"/>
          <wp:wrapNone/>
          <wp:docPr id="151" name="WordPictureWatermark23768" descr="ea2575d9d47bbff831b2cc4d5fb24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WordPictureWatermark23768" descr="ea2575d9d47bbff831b2cc4d5fb24ec"/>
                  <pic:cNvPicPr>
                    <a:picLocks noChangeAspect="1"/>
                  </pic:cNvPicPr>
                </pic:nvPicPr>
                <pic:blipFill>
                  <a:blip r:embed="rId1">
                    <a:lum bright="69998" contrast="-70001"/>
                  </a:blip>
                  <a:stretch>
                    <a:fillRect/>
                  </a:stretch>
                </pic:blipFill>
                <pic:spPr>
                  <a:xfrm>
                    <a:off x="0" y="0"/>
                    <a:ext cx="5274310" cy="18364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5FB497"/>
    <w:multiLevelType w:val="singleLevel"/>
    <w:tmpl w:val="9B5FB497"/>
    <w:lvl w:ilvl="0" w:tentative="0">
      <w:start w:val="1"/>
      <w:numFmt w:val="chineseCounting"/>
      <w:suff w:val="nothing"/>
      <w:lvlText w:val="%1、"/>
      <w:lvlJc w:val="left"/>
      <w:rPr>
        <w:rFonts w:hint="eastAsia"/>
      </w:rPr>
    </w:lvl>
  </w:abstractNum>
  <w:abstractNum w:abstractNumId="1">
    <w:nsid w:val="59CEF3CD"/>
    <w:multiLevelType w:val="singleLevel"/>
    <w:tmpl w:val="59CEF3CD"/>
    <w:lvl w:ilvl="0" w:tentative="0">
      <w:start w:val="2"/>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0"/>
  <w:bordersDoNotSurroundFooter w:val="0"/>
  <w:documentProtection w:enforcement="0"/>
  <w:defaultTabStop w:val="420"/>
  <w:drawingGridHorizontalSpacing w:val="105"/>
  <w:drawingGridVerticalSpacing w:val="163"/>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cyNzMwZjFhZjc0Mzg1YWNiYzA0MzlmMDBjYTA1YjgifQ=="/>
  </w:docVars>
  <w:rsids>
    <w:rsidRoot w:val="009E4CA0"/>
    <w:rsid w:val="0000015E"/>
    <w:rsid w:val="000046E6"/>
    <w:rsid w:val="000051D1"/>
    <w:rsid w:val="0000605A"/>
    <w:rsid w:val="00007E12"/>
    <w:rsid w:val="000170C0"/>
    <w:rsid w:val="00017AF7"/>
    <w:rsid w:val="00020B95"/>
    <w:rsid w:val="000213CA"/>
    <w:rsid w:val="00022CA1"/>
    <w:rsid w:val="00026845"/>
    <w:rsid w:val="000309B0"/>
    <w:rsid w:val="00032807"/>
    <w:rsid w:val="00032BB1"/>
    <w:rsid w:val="000359EF"/>
    <w:rsid w:val="00042741"/>
    <w:rsid w:val="00043102"/>
    <w:rsid w:val="0004655B"/>
    <w:rsid w:val="000475C6"/>
    <w:rsid w:val="00052D24"/>
    <w:rsid w:val="000563B5"/>
    <w:rsid w:val="00056C3E"/>
    <w:rsid w:val="0006706D"/>
    <w:rsid w:val="00070B43"/>
    <w:rsid w:val="000748E1"/>
    <w:rsid w:val="0007772F"/>
    <w:rsid w:val="00077D25"/>
    <w:rsid w:val="0008351C"/>
    <w:rsid w:val="000838AA"/>
    <w:rsid w:val="00084882"/>
    <w:rsid w:val="00094F31"/>
    <w:rsid w:val="000A159C"/>
    <w:rsid w:val="000A3D42"/>
    <w:rsid w:val="000A59E5"/>
    <w:rsid w:val="000A65FB"/>
    <w:rsid w:val="000A7C8B"/>
    <w:rsid w:val="000A7F41"/>
    <w:rsid w:val="000B4FF8"/>
    <w:rsid w:val="000C0E16"/>
    <w:rsid w:val="000D16D2"/>
    <w:rsid w:val="000D5159"/>
    <w:rsid w:val="000E04BC"/>
    <w:rsid w:val="000E1E41"/>
    <w:rsid w:val="000E2EF5"/>
    <w:rsid w:val="000E5586"/>
    <w:rsid w:val="000E6024"/>
    <w:rsid w:val="000E6B27"/>
    <w:rsid w:val="000E7FA0"/>
    <w:rsid w:val="00100B7F"/>
    <w:rsid w:val="00101C3E"/>
    <w:rsid w:val="00103414"/>
    <w:rsid w:val="00106E02"/>
    <w:rsid w:val="0011226F"/>
    <w:rsid w:val="00116E2B"/>
    <w:rsid w:val="001241FB"/>
    <w:rsid w:val="001256B4"/>
    <w:rsid w:val="00126A7B"/>
    <w:rsid w:val="00131492"/>
    <w:rsid w:val="001334A5"/>
    <w:rsid w:val="00134CA9"/>
    <w:rsid w:val="00142359"/>
    <w:rsid w:val="00142E73"/>
    <w:rsid w:val="00154D4C"/>
    <w:rsid w:val="00154FCE"/>
    <w:rsid w:val="001566BA"/>
    <w:rsid w:val="00156D57"/>
    <w:rsid w:val="0015744E"/>
    <w:rsid w:val="00165207"/>
    <w:rsid w:val="00171716"/>
    <w:rsid w:val="00172378"/>
    <w:rsid w:val="00172F1F"/>
    <w:rsid w:val="00173274"/>
    <w:rsid w:val="001829B6"/>
    <w:rsid w:val="00182ADF"/>
    <w:rsid w:val="001963E4"/>
    <w:rsid w:val="00196D0A"/>
    <w:rsid w:val="00197439"/>
    <w:rsid w:val="001A0B12"/>
    <w:rsid w:val="001A7824"/>
    <w:rsid w:val="001B0088"/>
    <w:rsid w:val="001B03A6"/>
    <w:rsid w:val="001B29D8"/>
    <w:rsid w:val="001B77E7"/>
    <w:rsid w:val="001D1664"/>
    <w:rsid w:val="001D5059"/>
    <w:rsid w:val="001D604A"/>
    <w:rsid w:val="001E1B5B"/>
    <w:rsid w:val="001E1F59"/>
    <w:rsid w:val="001E3EEF"/>
    <w:rsid w:val="001E7770"/>
    <w:rsid w:val="001E7889"/>
    <w:rsid w:val="001F057B"/>
    <w:rsid w:val="001F14D8"/>
    <w:rsid w:val="001F22A5"/>
    <w:rsid w:val="001F2D25"/>
    <w:rsid w:val="001F4A45"/>
    <w:rsid w:val="001F4BDB"/>
    <w:rsid w:val="001F4CC4"/>
    <w:rsid w:val="00201EF5"/>
    <w:rsid w:val="002030A5"/>
    <w:rsid w:val="00205A38"/>
    <w:rsid w:val="00206245"/>
    <w:rsid w:val="002116FB"/>
    <w:rsid w:val="00211C64"/>
    <w:rsid w:val="00211E28"/>
    <w:rsid w:val="00216BB0"/>
    <w:rsid w:val="002201EC"/>
    <w:rsid w:val="00221221"/>
    <w:rsid w:val="00224154"/>
    <w:rsid w:val="00236564"/>
    <w:rsid w:val="0023776F"/>
    <w:rsid w:val="00242340"/>
    <w:rsid w:val="00242CC9"/>
    <w:rsid w:val="002504D1"/>
    <w:rsid w:val="002507D9"/>
    <w:rsid w:val="00251FF1"/>
    <w:rsid w:val="00260D05"/>
    <w:rsid w:val="002650A3"/>
    <w:rsid w:val="00270A3C"/>
    <w:rsid w:val="00274F27"/>
    <w:rsid w:val="00275F46"/>
    <w:rsid w:val="002916DA"/>
    <w:rsid w:val="00292837"/>
    <w:rsid w:val="00292F33"/>
    <w:rsid w:val="002A2F9B"/>
    <w:rsid w:val="002B23E5"/>
    <w:rsid w:val="002B499B"/>
    <w:rsid w:val="002B7896"/>
    <w:rsid w:val="002C56AD"/>
    <w:rsid w:val="002C640F"/>
    <w:rsid w:val="002D3008"/>
    <w:rsid w:val="002D345E"/>
    <w:rsid w:val="002D40EF"/>
    <w:rsid w:val="002D58EB"/>
    <w:rsid w:val="002F0019"/>
    <w:rsid w:val="002F4169"/>
    <w:rsid w:val="0030480B"/>
    <w:rsid w:val="00304D94"/>
    <w:rsid w:val="00310F48"/>
    <w:rsid w:val="00311057"/>
    <w:rsid w:val="00312A10"/>
    <w:rsid w:val="00314A9E"/>
    <w:rsid w:val="00315AA9"/>
    <w:rsid w:val="00316E95"/>
    <w:rsid w:val="0032069A"/>
    <w:rsid w:val="00325B06"/>
    <w:rsid w:val="0032627B"/>
    <w:rsid w:val="003301AB"/>
    <w:rsid w:val="00330306"/>
    <w:rsid w:val="00334FA4"/>
    <w:rsid w:val="00335101"/>
    <w:rsid w:val="00335103"/>
    <w:rsid w:val="00335455"/>
    <w:rsid w:val="00343A0D"/>
    <w:rsid w:val="003504B0"/>
    <w:rsid w:val="00351117"/>
    <w:rsid w:val="00354479"/>
    <w:rsid w:val="003545CE"/>
    <w:rsid w:val="003564DB"/>
    <w:rsid w:val="0036250E"/>
    <w:rsid w:val="00363458"/>
    <w:rsid w:val="00365D12"/>
    <w:rsid w:val="00366DF7"/>
    <w:rsid w:val="003716E6"/>
    <w:rsid w:val="00372460"/>
    <w:rsid w:val="00383B53"/>
    <w:rsid w:val="003861E4"/>
    <w:rsid w:val="00387993"/>
    <w:rsid w:val="00391B9E"/>
    <w:rsid w:val="003A38E1"/>
    <w:rsid w:val="003A3DBB"/>
    <w:rsid w:val="003A6913"/>
    <w:rsid w:val="003B0209"/>
    <w:rsid w:val="003B18C4"/>
    <w:rsid w:val="003C0800"/>
    <w:rsid w:val="003C26A8"/>
    <w:rsid w:val="003D0BB1"/>
    <w:rsid w:val="003D0E82"/>
    <w:rsid w:val="003D5B8B"/>
    <w:rsid w:val="003E4B2A"/>
    <w:rsid w:val="003E6816"/>
    <w:rsid w:val="003E6DDD"/>
    <w:rsid w:val="003E6E59"/>
    <w:rsid w:val="003E7FAA"/>
    <w:rsid w:val="003F188B"/>
    <w:rsid w:val="004015D1"/>
    <w:rsid w:val="00404D95"/>
    <w:rsid w:val="0041352F"/>
    <w:rsid w:val="0041397E"/>
    <w:rsid w:val="00416AC4"/>
    <w:rsid w:val="004172C8"/>
    <w:rsid w:val="00420279"/>
    <w:rsid w:val="0042114B"/>
    <w:rsid w:val="004227A8"/>
    <w:rsid w:val="00426970"/>
    <w:rsid w:val="00427919"/>
    <w:rsid w:val="00431CCC"/>
    <w:rsid w:val="00437903"/>
    <w:rsid w:val="00443F32"/>
    <w:rsid w:val="0044464C"/>
    <w:rsid w:val="00445ED0"/>
    <w:rsid w:val="00446C16"/>
    <w:rsid w:val="00447EBE"/>
    <w:rsid w:val="00451775"/>
    <w:rsid w:val="004614E5"/>
    <w:rsid w:val="004634C2"/>
    <w:rsid w:val="0046400A"/>
    <w:rsid w:val="004647B1"/>
    <w:rsid w:val="004654F5"/>
    <w:rsid w:val="004668AE"/>
    <w:rsid w:val="0047053D"/>
    <w:rsid w:val="004709CE"/>
    <w:rsid w:val="00471D63"/>
    <w:rsid w:val="00476F3B"/>
    <w:rsid w:val="004807D4"/>
    <w:rsid w:val="00486421"/>
    <w:rsid w:val="004952C7"/>
    <w:rsid w:val="004A344E"/>
    <w:rsid w:val="004A3DC5"/>
    <w:rsid w:val="004A53FD"/>
    <w:rsid w:val="004C0969"/>
    <w:rsid w:val="004C1F4F"/>
    <w:rsid w:val="004C4C2A"/>
    <w:rsid w:val="004C5D50"/>
    <w:rsid w:val="004C7B42"/>
    <w:rsid w:val="004D249C"/>
    <w:rsid w:val="004D2873"/>
    <w:rsid w:val="004E1761"/>
    <w:rsid w:val="004E1C54"/>
    <w:rsid w:val="004E39F9"/>
    <w:rsid w:val="004E55D5"/>
    <w:rsid w:val="004F2179"/>
    <w:rsid w:val="004F31E4"/>
    <w:rsid w:val="004F3483"/>
    <w:rsid w:val="004F355C"/>
    <w:rsid w:val="004F37D8"/>
    <w:rsid w:val="004F4C3D"/>
    <w:rsid w:val="004F681B"/>
    <w:rsid w:val="00504116"/>
    <w:rsid w:val="005043E2"/>
    <w:rsid w:val="005077BD"/>
    <w:rsid w:val="005207A4"/>
    <w:rsid w:val="005209EE"/>
    <w:rsid w:val="005231B7"/>
    <w:rsid w:val="005242F3"/>
    <w:rsid w:val="00525902"/>
    <w:rsid w:val="0053520F"/>
    <w:rsid w:val="00552192"/>
    <w:rsid w:val="00552FF5"/>
    <w:rsid w:val="00555C41"/>
    <w:rsid w:val="00561BCA"/>
    <w:rsid w:val="00563650"/>
    <w:rsid w:val="0056447E"/>
    <w:rsid w:val="0056553D"/>
    <w:rsid w:val="005669F4"/>
    <w:rsid w:val="00572120"/>
    <w:rsid w:val="00573388"/>
    <w:rsid w:val="0058432C"/>
    <w:rsid w:val="00585655"/>
    <w:rsid w:val="00586BB4"/>
    <w:rsid w:val="00587669"/>
    <w:rsid w:val="00587684"/>
    <w:rsid w:val="00597981"/>
    <w:rsid w:val="00597E4A"/>
    <w:rsid w:val="005A05BC"/>
    <w:rsid w:val="005A0F8C"/>
    <w:rsid w:val="005A6762"/>
    <w:rsid w:val="005B391F"/>
    <w:rsid w:val="005B50C5"/>
    <w:rsid w:val="005C54B6"/>
    <w:rsid w:val="005C6853"/>
    <w:rsid w:val="005D1ADC"/>
    <w:rsid w:val="005D201C"/>
    <w:rsid w:val="005D31CD"/>
    <w:rsid w:val="005D6545"/>
    <w:rsid w:val="005E05A8"/>
    <w:rsid w:val="005E11D8"/>
    <w:rsid w:val="005E3544"/>
    <w:rsid w:val="005E3E37"/>
    <w:rsid w:val="005E3EE7"/>
    <w:rsid w:val="005F23F7"/>
    <w:rsid w:val="005F4F0C"/>
    <w:rsid w:val="006079BA"/>
    <w:rsid w:val="0061042B"/>
    <w:rsid w:val="006129EE"/>
    <w:rsid w:val="00612B7C"/>
    <w:rsid w:val="00613B93"/>
    <w:rsid w:val="006200DD"/>
    <w:rsid w:val="0062612A"/>
    <w:rsid w:val="0063386F"/>
    <w:rsid w:val="00633CF9"/>
    <w:rsid w:val="00634137"/>
    <w:rsid w:val="00636803"/>
    <w:rsid w:val="00640FE2"/>
    <w:rsid w:val="006434D0"/>
    <w:rsid w:val="00646629"/>
    <w:rsid w:val="00651776"/>
    <w:rsid w:val="00656A15"/>
    <w:rsid w:val="006632FB"/>
    <w:rsid w:val="00670FE0"/>
    <w:rsid w:val="006716E7"/>
    <w:rsid w:val="00671B9C"/>
    <w:rsid w:val="00674CBD"/>
    <w:rsid w:val="0067763B"/>
    <w:rsid w:val="00682C3A"/>
    <w:rsid w:val="0068350B"/>
    <w:rsid w:val="006872DB"/>
    <w:rsid w:val="00692853"/>
    <w:rsid w:val="00692D46"/>
    <w:rsid w:val="00694BC9"/>
    <w:rsid w:val="00696823"/>
    <w:rsid w:val="006A31B2"/>
    <w:rsid w:val="006A64D3"/>
    <w:rsid w:val="006A6CF4"/>
    <w:rsid w:val="006B5AA1"/>
    <w:rsid w:val="006B716C"/>
    <w:rsid w:val="006C5E6E"/>
    <w:rsid w:val="006C60DC"/>
    <w:rsid w:val="006C62B0"/>
    <w:rsid w:val="006C6F97"/>
    <w:rsid w:val="006D4864"/>
    <w:rsid w:val="006D60DD"/>
    <w:rsid w:val="006E5593"/>
    <w:rsid w:val="006F092D"/>
    <w:rsid w:val="007001F1"/>
    <w:rsid w:val="007064BB"/>
    <w:rsid w:val="00707445"/>
    <w:rsid w:val="00716CCF"/>
    <w:rsid w:val="00716D15"/>
    <w:rsid w:val="00717EB7"/>
    <w:rsid w:val="00723C61"/>
    <w:rsid w:val="007241FC"/>
    <w:rsid w:val="007269ED"/>
    <w:rsid w:val="0073305C"/>
    <w:rsid w:val="0073544A"/>
    <w:rsid w:val="007355B4"/>
    <w:rsid w:val="0074007D"/>
    <w:rsid w:val="0074343B"/>
    <w:rsid w:val="00747BCD"/>
    <w:rsid w:val="007540FF"/>
    <w:rsid w:val="00773EBC"/>
    <w:rsid w:val="00776CEA"/>
    <w:rsid w:val="007873D8"/>
    <w:rsid w:val="00791675"/>
    <w:rsid w:val="00791EE4"/>
    <w:rsid w:val="007A1A96"/>
    <w:rsid w:val="007A44AB"/>
    <w:rsid w:val="007B0DC9"/>
    <w:rsid w:val="007B180A"/>
    <w:rsid w:val="007B2D91"/>
    <w:rsid w:val="007B2DF0"/>
    <w:rsid w:val="007B51FC"/>
    <w:rsid w:val="007B7858"/>
    <w:rsid w:val="007C4716"/>
    <w:rsid w:val="007C6524"/>
    <w:rsid w:val="007C6FEB"/>
    <w:rsid w:val="007C712E"/>
    <w:rsid w:val="007D1929"/>
    <w:rsid w:val="007F6E60"/>
    <w:rsid w:val="00800CE4"/>
    <w:rsid w:val="008042F6"/>
    <w:rsid w:val="00807C19"/>
    <w:rsid w:val="00811E16"/>
    <w:rsid w:val="0082228A"/>
    <w:rsid w:val="008233F1"/>
    <w:rsid w:val="00824522"/>
    <w:rsid w:val="00827803"/>
    <w:rsid w:val="008347E4"/>
    <w:rsid w:val="008349F6"/>
    <w:rsid w:val="00844EA4"/>
    <w:rsid w:val="008467AD"/>
    <w:rsid w:val="00854272"/>
    <w:rsid w:val="0086091C"/>
    <w:rsid w:val="00862959"/>
    <w:rsid w:val="0086339E"/>
    <w:rsid w:val="0087181E"/>
    <w:rsid w:val="00871A16"/>
    <w:rsid w:val="00873893"/>
    <w:rsid w:val="00874B92"/>
    <w:rsid w:val="00881F0A"/>
    <w:rsid w:val="00883939"/>
    <w:rsid w:val="0089255B"/>
    <w:rsid w:val="0089291B"/>
    <w:rsid w:val="00893E15"/>
    <w:rsid w:val="008A33EE"/>
    <w:rsid w:val="008A4F90"/>
    <w:rsid w:val="008D1142"/>
    <w:rsid w:val="008D1894"/>
    <w:rsid w:val="008D3618"/>
    <w:rsid w:val="008D529D"/>
    <w:rsid w:val="008D5BE4"/>
    <w:rsid w:val="008E61A4"/>
    <w:rsid w:val="008F0828"/>
    <w:rsid w:val="008F0ACE"/>
    <w:rsid w:val="008F22DD"/>
    <w:rsid w:val="008F28D0"/>
    <w:rsid w:val="008F3439"/>
    <w:rsid w:val="008F39BD"/>
    <w:rsid w:val="008F5A64"/>
    <w:rsid w:val="008F5C11"/>
    <w:rsid w:val="008F5E5B"/>
    <w:rsid w:val="008F68D9"/>
    <w:rsid w:val="008F6D52"/>
    <w:rsid w:val="008F7F3A"/>
    <w:rsid w:val="00901322"/>
    <w:rsid w:val="00902A75"/>
    <w:rsid w:val="00903515"/>
    <w:rsid w:val="00905A88"/>
    <w:rsid w:val="0091150E"/>
    <w:rsid w:val="009204FA"/>
    <w:rsid w:val="009212F9"/>
    <w:rsid w:val="00923F3C"/>
    <w:rsid w:val="00924676"/>
    <w:rsid w:val="009249C9"/>
    <w:rsid w:val="0092696A"/>
    <w:rsid w:val="00926D0B"/>
    <w:rsid w:val="0093179D"/>
    <w:rsid w:val="009325FE"/>
    <w:rsid w:val="0093516D"/>
    <w:rsid w:val="00936EAB"/>
    <w:rsid w:val="0094065A"/>
    <w:rsid w:val="0094069B"/>
    <w:rsid w:val="00942724"/>
    <w:rsid w:val="00942CC2"/>
    <w:rsid w:val="0094601E"/>
    <w:rsid w:val="0095040D"/>
    <w:rsid w:val="00950F3E"/>
    <w:rsid w:val="00951630"/>
    <w:rsid w:val="00955471"/>
    <w:rsid w:val="00957A73"/>
    <w:rsid w:val="00957E33"/>
    <w:rsid w:val="00960111"/>
    <w:rsid w:val="00960BBA"/>
    <w:rsid w:val="0096173D"/>
    <w:rsid w:val="009617D3"/>
    <w:rsid w:val="0096610D"/>
    <w:rsid w:val="00967155"/>
    <w:rsid w:val="00970DB9"/>
    <w:rsid w:val="00971D10"/>
    <w:rsid w:val="00972F21"/>
    <w:rsid w:val="0097469D"/>
    <w:rsid w:val="00974A3A"/>
    <w:rsid w:val="00974FEB"/>
    <w:rsid w:val="00985EC1"/>
    <w:rsid w:val="00990F42"/>
    <w:rsid w:val="009A66EE"/>
    <w:rsid w:val="009D2B44"/>
    <w:rsid w:val="009D3A6F"/>
    <w:rsid w:val="009D5D06"/>
    <w:rsid w:val="009E3567"/>
    <w:rsid w:val="009E4204"/>
    <w:rsid w:val="009E4CA0"/>
    <w:rsid w:val="009E63C8"/>
    <w:rsid w:val="009E771B"/>
    <w:rsid w:val="009E7DD1"/>
    <w:rsid w:val="009F4AF9"/>
    <w:rsid w:val="009F6B45"/>
    <w:rsid w:val="00A13361"/>
    <w:rsid w:val="00A166A8"/>
    <w:rsid w:val="00A21791"/>
    <w:rsid w:val="00A22EFE"/>
    <w:rsid w:val="00A301C8"/>
    <w:rsid w:val="00A3036B"/>
    <w:rsid w:val="00A30B2C"/>
    <w:rsid w:val="00A328BF"/>
    <w:rsid w:val="00A35429"/>
    <w:rsid w:val="00A44308"/>
    <w:rsid w:val="00A46197"/>
    <w:rsid w:val="00A520CF"/>
    <w:rsid w:val="00A52877"/>
    <w:rsid w:val="00A559BD"/>
    <w:rsid w:val="00A628D3"/>
    <w:rsid w:val="00A716E9"/>
    <w:rsid w:val="00A72037"/>
    <w:rsid w:val="00A729A1"/>
    <w:rsid w:val="00A80C95"/>
    <w:rsid w:val="00A821EA"/>
    <w:rsid w:val="00A82F3B"/>
    <w:rsid w:val="00A85E33"/>
    <w:rsid w:val="00A912EE"/>
    <w:rsid w:val="00A94046"/>
    <w:rsid w:val="00A96A9B"/>
    <w:rsid w:val="00AA080D"/>
    <w:rsid w:val="00AA2612"/>
    <w:rsid w:val="00AA3E2D"/>
    <w:rsid w:val="00AA5A93"/>
    <w:rsid w:val="00AA7A30"/>
    <w:rsid w:val="00AA7B82"/>
    <w:rsid w:val="00AB1A95"/>
    <w:rsid w:val="00AB36DA"/>
    <w:rsid w:val="00AC0ED0"/>
    <w:rsid w:val="00AC3790"/>
    <w:rsid w:val="00AD511B"/>
    <w:rsid w:val="00AE0955"/>
    <w:rsid w:val="00AE3D2F"/>
    <w:rsid w:val="00AE4D35"/>
    <w:rsid w:val="00AE6F8B"/>
    <w:rsid w:val="00AE7EFD"/>
    <w:rsid w:val="00B007DB"/>
    <w:rsid w:val="00B0496A"/>
    <w:rsid w:val="00B05EAF"/>
    <w:rsid w:val="00B10258"/>
    <w:rsid w:val="00B12A02"/>
    <w:rsid w:val="00B150A6"/>
    <w:rsid w:val="00B20D5C"/>
    <w:rsid w:val="00B22DAB"/>
    <w:rsid w:val="00B22E72"/>
    <w:rsid w:val="00B25D71"/>
    <w:rsid w:val="00B26244"/>
    <w:rsid w:val="00B26D18"/>
    <w:rsid w:val="00B30885"/>
    <w:rsid w:val="00B34D1C"/>
    <w:rsid w:val="00B45D20"/>
    <w:rsid w:val="00B463AE"/>
    <w:rsid w:val="00B5215F"/>
    <w:rsid w:val="00B552C1"/>
    <w:rsid w:val="00B55307"/>
    <w:rsid w:val="00B55858"/>
    <w:rsid w:val="00B56CC7"/>
    <w:rsid w:val="00B574D0"/>
    <w:rsid w:val="00B60D53"/>
    <w:rsid w:val="00B63A88"/>
    <w:rsid w:val="00B704BA"/>
    <w:rsid w:val="00B70646"/>
    <w:rsid w:val="00B72728"/>
    <w:rsid w:val="00B84F72"/>
    <w:rsid w:val="00B90106"/>
    <w:rsid w:val="00B96CF6"/>
    <w:rsid w:val="00BA298B"/>
    <w:rsid w:val="00BA31D1"/>
    <w:rsid w:val="00BA3734"/>
    <w:rsid w:val="00BB23CB"/>
    <w:rsid w:val="00BB4943"/>
    <w:rsid w:val="00BC2E87"/>
    <w:rsid w:val="00BC36FC"/>
    <w:rsid w:val="00BD0993"/>
    <w:rsid w:val="00BD0CF4"/>
    <w:rsid w:val="00BD2E8C"/>
    <w:rsid w:val="00BD4F31"/>
    <w:rsid w:val="00BD5AE4"/>
    <w:rsid w:val="00BE142C"/>
    <w:rsid w:val="00BE1747"/>
    <w:rsid w:val="00BE63B1"/>
    <w:rsid w:val="00BE6B05"/>
    <w:rsid w:val="00BE7203"/>
    <w:rsid w:val="00BF0614"/>
    <w:rsid w:val="00BF0F30"/>
    <w:rsid w:val="00BF1571"/>
    <w:rsid w:val="00BF1940"/>
    <w:rsid w:val="00BF4DA4"/>
    <w:rsid w:val="00BF4F2A"/>
    <w:rsid w:val="00BF7480"/>
    <w:rsid w:val="00BF7DDC"/>
    <w:rsid w:val="00C004A3"/>
    <w:rsid w:val="00C009F9"/>
    <w:rsid w:val="00C01915"/>
    <w:rsid w:val="00C034B4"/>
    <w:rsid w:val="00C035A4"/>
    <w:rsid w:val="00C06B61"/>
    <w:rsid w:val="00C077AE"/>
    <w:rsid w:val="00C135CE"/>
    <w:rsid w:val="00C17F4D"/>
    <w:rsid w:val="00C26714"/>
    <w:rsid w:val="00C30A9C"/>
    <w:rsid w:val="00C31660"/>
    <w:rsid w:val="00C31911"/>
    <w:rsid w:val="00C31960"/>
    <w:rsid w:val="00C34C44"/>
    <w:rsid w:val="00C37900"/>
    <w:rsid w:val="00C4069D"/>
    <w:rsid w:val="00C41CBB"/>
    <w:rsid w:val="00C42CF3"/>
    <w:rsid w:val="00C43139"/>
    <w:rsid w:val="00C43247"/>
    <w:rsid w:val="00C43D29"/>
    <w:rsid w:val="00C52DA9"/>
    <w:rsid w:val="00C52F9C"/>
    <w:rsid w:val="00C55626"/>
    <w:rsid w:val="00C56321"/>
    <w:rsid w:val="00C60356"/>
    <w:rsid w:val="00C6101E"/>
    <w:rsid w:val="00C61FB9"/>
    <w:rsid w:val="00C70E66"/>
    <w:rsid w:val="00C73FEF"/>
    <w:rsid w:val="00C74BF2"/>
    <w:rsid w:val="00C76EF4"/>
    <w:rsid w:val="00C82710"/>
    <w:rsid w:val="00C86D64"/>
    <w:rsid w:val="00C90FC9"/>
    <w:rsid w:val="00C91EFB"/>
    <w:rsid w:val="00CA2C8A"/>
    <w:rsid w:val="00CA3748"/>
    <w:rsid w:val="00CB07C5"/>
    <w:rsid w:val="00CB53BE"/>
    <w:rsid w:val="00CB58CF"/>
    <w:rsid w:val="00CB6DD4"/>
    <w:rsid w:val="00CC138F"/>
    <w:rsid w:val="00CC30D3"/>
    <w:rsid w:val="00CC5B6A"/>
    <w:rsid w:val="00CD0AEE"/>
    <w:rsid w:val="00CD0E8E"/>
    <w:rsid w:val="00CD357A"/>
    <w:rsid w:val="00CD5C1A"/>
    <w:rsid w:val="00CD787B"/>
    <w:rsid w:val="00CE65CA"/>
    <w:rsid w:val="00CE71A7"/>
    <w:rsid w:val="00CE743E"/>
    <w:rsid w:val="00CE7B8A"/>
    <w:rsid w:val="00D001DD"/>
    <w:rsid w:val="00D1263B"/>
    <w:rsid w:val="00D22504"/>
    <w:rsid w:val="00D22FA1"/>
    <w:rsid w:val="00D25ABF"/>
    <w:rsid w:val="00D31D18"/>
    <w:rsid w:val="00D35C16"/>
    <w:rsid w:val="00D3687D"/>
    <w:rsid w:val="00D36E73"/>
    <w:rsid w:val="00D40F80"/>
    <w:rsid w:val="00D41538"/>
    <w:rsid w:val="00D530B6"/>
    <w:rsid w:val="00D640A7"/>
    <w:rsid w:val="00D6433F"/>
    <w:rsid w:val="00D656A3"/>
    <w:rsid w:val="00D66666"/>
    <w:rsid w:val="00D67A35"/>
    <w:rsid w:val="00D71391"/>
    <w:rsid w:val="00D72DB9"/>
    <w:rsid w:val="00D74ADC"/>
    <w:rsid w:val="00D74C75"/>
    <w:rsid w:val="00D75AE4"/>
    <w:rsid w:val="00D765A2"/>
    <w:rsid w:val="00D77081"/>
    <w:rsid w:val="00D772EB"/>
    <w:rsid w:val="00D77852"/>
    <w:rsid w:val="00D778C1"/>
    <w:rsid w:val="00D83488"/>
    <w:rsid w:val="00D84787"/>
    <w:rsid w:val="00D87E81"/>
    <w:rsid w:val="00D91AFB"/>
    <w:rsid w:val="00D97D86"/>
    <w:rsid w:val="00DA2F5B"/>
    <w:rsid w:val="00DA50B6"/>
    <w:rsid w:val="00DA5CA3"/>
    <w:rsid w:val="00DA721D"/>
    <w:rsid w:val="00DB0A17"/>
    <w:rsid w:val="00DB1983"/>
    <w:rsid w:val="00DB30B0"/>
    <w:rsid w:val="00DB39B0"/>
    <w:rsid w:val="00DB56C0"/>
    <w:rsid w:val="00DC11CA"/>
    <w:rsid w:val="00DC198F"/>
    <w:rsid w:val="00DC1AAE"/>
    <w:rsid w:val="00DC1FF6"/>
    <w:rsid w:val="00DC386E"/>
    <w:rsid w:val="00DD44ED"/>
    <w:rsid w:val="00DE270C"/>
    <w:rsid w:val="00DE2C0C"/>
    <w:rsid w:val="00DE4913"/>
    <w:rsid w:val="00DE57CD"/>
    <w:rsid w:val="00DE7AF0"/>
    <w:rsid w:val="00DF7D89"/>
    <w:rsid w:val="00E011EC"/>
    <w:rsid w:val="00E01669"/>
    <w:rsid w:val="00E0392E"/>
    <w:rsid w:val="00E0474A"/>
    <w:rsid w:val="00E10814"/>
    <w:rsid w:val="00E118F8"/>
    <w:rsid w:val="00E1389C"/>
    <w:rsid w:val="00E17028"/>
    <w:rsid w:val="00E23535"/>
    <w:rsid w:val="00E2600A"/>
    <w:rsid w:val="00E2760F"/>
    <w:rsid w:val="00E319B6"/>
    <w:rsid w:val="00E31D6C"/>
    <w:rsid w:val="00E34997"/>
    <w:rsid w:val="00E35F00"/>
    <w:rsid w:val="00E4407C"/>
    <w:rsid w:val="00E5244F"/>
    <w:rsid w:val="00E64535"/>
    <w:rsid w:val="00E66E94"/>
    <w:rsid w:val="00E71BBF"/>
    <w:rsid w:val="00E72D54"/>
    <w:rsid w:val="00E73721"/>
    <w:rsid w:val="00E75708"/>
    <w:rsid w:val="00E76FBB"/>
    <w:rsid w:val="00E86ABD"/>
    <w:rsid w:val="00EA23FB"/>
    <w:rsid w:val="00EA4F25"/>
    <w:rsid w:val="00EA77FB"/>
    <w:rsid w:val="00EB0558"/>
    <w:rsid w:val="00EB2C33"/>
    <w:rsid w:val="00EC1E61"/>
    <w:rsid w:val="00EC24AC"/>
    <w:rsid w:val="00EC7758"/>
    <w:rsid w:val="00ED02D9"/>
    <w:rsid w:val="00ED11DB"/>
    <w:rsid w:val="00ED322F"/>
    <w:rsid w:val="00EE11FA"/>
    <w:rsid w:val="00EE38A4"/>
    <w:rsid w:val="00EE45B0"/>
    <w:rsid w:val="00EE540C"/>
    <w:rsid w:val="00EE6918"/>
    <w:rsid w:val="00EE6DA7"/>
    <w:rsid w:val="00EF2191"/>
    <w:rsid w:val="00EF419F"/>
    <w:rsid w:val="00F02A24"/>
    <w:rsid w:val="00F06542"/>
    <w:rsid w:val="00F07191"/>
    <w:rsid w:val="00F0762B"/>
    <w:rsid w:val="00F10EFD"/>
    <w:rsid w:val="00F1234B"/>
    <w:rsid w:val="00F1378C"/>
    <w:rsid w:val="00F2033F"/>
    <w:rsid w:val="00F2059C"/>
    <w:rsid w:val="00F22F84"/>
    <w:rsid w:val="00F277B7"/>
    <w:rsid w:val="00F30CEC"/>
    <w:rsid w:val="00F33609"/>
    <w:rsid w:val="00F362F4"/>
    <w:rsid w:val="00F366B2"/>
    <w:rsid w:val="00F407B4"/>
    <w:rsid w:val="00F41206"/>
    <w:rsid w:val="00F4378A"/>
    <w:rsid w:val="00F455A0"/>
    <w:rsid w:val="00F50E7A"/>
    <w:rsid w:val="00F515C7"/>
    <w:rsid w:val="00F54AB6"/>
    <w:rsid w:val="00F5632B"/>
    <w:rsid w:val="00F57F56"/>
    <w:rsid w:val="00F678A9"/>
    <w:rsid w:val="00F70CEC"/>
    <w:rsid w:val="00F82086"/>
    <w:rsid w:val="00F91DB7"/>
    <w:rsid w:val="00F92BFF"/>
    <w:rsid w:val="00FA0228"/>
    <w:rsid w:val="00FA233E"/>
    <w:rsid w:val="00FA4A92"/>
    <w:rsid w:val="00FA766B"/>
    <w:rsid w:val="00FB39FD"/>
    <w:rsid w:val="00FB75FF"/>
    <w:rsid w:val="00FC7F7F"/>
    <w:rsid w:val="00FD0125"/>
    <w:rsid w:val="00FD25DA"/>
    <w:rsid w:val="00FE29A7"/>
    <w:rsid w:val="00FE3038"/>
    <w:rsid w:val="00FF08A8"/>
    <w:rsid w:val="00FF1F0F"/>
    <w:rsid w:val="00FF26C5"/>
    <w:rsid w:val="00FF723A"/>
    <w:rsid w:val="01BF6730"/>
    <w:rsid w:val="02123AD6"/>
    <w:rsid w:val="02431A7D"/>
    <w:rsid w:val="024636D4"/>
    <w:rsid w:val="028B5457"/>
    <w:rsid w:val="02A75CF9"/>
    <w:rsid w:val="032A7313"/>
    <w:rsid w:val="0380434E"/>
    <w:rsid w:val="03832A08"/>
    <w:rsid w:val="03950013"/>
    <w:rsid w:val="03B17691"/>
    <w:rsid w:val="03BB09EB"/>
    <w:rsid w:val="03BE5D3A"/>
    <w:rsid w:val="03C60B66"/>
    <w:rsid w:val="03D3645E"/>
    <w:rsid w:val="03F842E2"/>
    <w:rsid w:val="041D362B"/>
    <w:rsid w:val="047400C6"/>
    <w:rsid w:val="05060F28"/>
    <w:rsid w:val="05096B07"/>
    <w:rsid w:val="053A514B"/>
    <w:rsid w:val="053B7608"/>
    <w:rsid w:val="05A263D4"/>
    <w:rsid w:val="05E568AC"/>
    <w:rsid w:val="06497727"/>
    <w:rsid w:val="06657CAB"/>
    <w:rsid w:val="068621B7"/>
    <w:rsid w:val="06F34CAC"/>
    <w:rsid w:val="0795497D"/>
    <w:rsid w:val="07AD2313"/>
    <w:rsid w:val="07C4574A"/>
    <w:rsid w:val="07D4164E"/>
    <w:rsid w:val="083F4047"/>
    <w:rsid w:val="087D3C9D"/>
    <w:rsid w:val="089D4B60"/>
    <w:rsid w:val="08BF2A47"/>
    <w:rsid w:val="097D2390"/>
    <w:rsid w:val="097E7AC3"/>
    <w:rsid w:val="09B74D83"/>
    <w:rsid w:val="09C54A15"/>
    <w:rsid w:val="0A5F0236"/>
    <w:rsid w:val="0A6F00E2"/>
    <w:rsid w:val="0A731B76"/>
    <w:rsid w:val="0A8F3F52"/>
    <w:rsid w:val="0AA64BCB"/>
    <w:rsid w:val="0ABE08B4"/>
    <w:rsid w:val="0AE61DC4"/>
    <w:rsid w:val="0B4A526A"/>
    <w:rsid w:val="0BA010B5"/>
    <w:rsid w:val="0BA93AA3"/>
    <w:rsid w:val="0BBC2635"/>
    <w:rsid w:val="0BBE689D"/>
    <w:rsid w:val="0C17625F"/>
    <w:rsid w:val="0C566B3E"/>
    <w:rsid w:val="0D1A0DF1"/>
    <w:rsid w:val="0D541C42"/>
    <w:rsid w:val="0D8E04F1"/>
    <w:rsid w:val="0DC94207"/>
    <w:rsid w:val="0E0535F5"/>
    <w:rsid w:val="0E437964"/>
    <w:rsid w:val="0E4C6257"/>
    <w:rsid w:val="0E963B01"/>
    <w:rsid w:val="0ED94B43"/>
    <w:rsid w:val="0F414D68"/>
    <w:rsid w:val="0F447E11"/>
    <w:rsid w:val="0F4E64F0"/>
    <w:rsid w:val="0F5D37DE"/>
    <w:rsid w:val="10442408"/>
    <w:rsid w:val="10710382"/>
    <w:rsid w:val="107A3EA9"/>
    <w:rsid w:val="108F3F0F"/>
    <w:rsid w:val="10CE41C2"/>
    <w:rsid w:val="1125147F"/>
    <w:rsid w:val="1129635C"/>
    <w:rsid w:val="112B6D22"/>
    <w:rsid w:val="1188442E"/>
    <w:rsid w:val="122709C8"/>
    <w:rsid w:val="12811990"/>
    <w:rsid w:val="12A14823"/>
    <w:rsid w:val="12C53A89"/>
    <w:rsid w:val="12E666D9"/>
    <w:rsid w:val="13030AD0"/>
    <w:rsid w:val="13A50343"/>
    <w:rsid w:val="13AE5449"/>
    <w:rsid w:val="13B86C23"/>
    <w:rsid w:val="13D90051"/>
    <w:rsid w:val="14131E94"/>
    <w:rsid w:val="144B713C"/>
    <w:rsid w:val="14904384"/>
    <w:rsid w:val="14A9209E"/>
    <w:rsid w:val="14C56255"/>
    <w:rsid w:val="156347D8"/>
    <w:rsid w:val="157265ED"/>
    <w:rsid w:val="15B94248"/>
    <w:rsid w:val="161A46DC"/>
    <w:rsid w:val="16404C60"/>
    <w:rsid w:val="164125A5"/>
    <w:rsid w:val="166C55C5"/>
    <w:rsid w:val="16935C60"/>
    <w:rsid w:val="16A879C0"/>
    <w:rsid w:val="16CB2C00"/>
    <w:rsid w:val="170F161A"/>
    <w:rsid w:val="173817AA"/>
    <w:rsid w:val="17D54719"/>
    <w:rsid w:val="17E859EA"/>
    <w:rsid w:val="185527C3"/>
    <w:rsid w:val="1865462D"/>
    <w:rsid w:val="187F0613"/>
    <w:rsid w:val="18820C52"/>
    <w:rsid w:val="18BB48F6"/>
    <w:rsid w:val="18D83724"/>
    <w:rsid w:val="18DF60A5"/>
    <w:rsid w:val="190E59AB"/>
    <w:rsid w:val="199A77CA"/>
    <w:rsid w:val="19BC44F3"/>
    <w:rsid w:val="19C5647F"/>
    <w:rsid w:val="1A0D01EE"/>
    <w:rsid w:val="1A1D74FC"/>
    <w:rsid w:val="1A375B0A"/>
    <w:rsid w:val="1A4408B5"/>
    <w:rsid w:val="1A8579EE"/>
    <w:rsid w:val="1ACD723D"/>
    <w:rsid w:val="1AEA2550"/>
    <w:rsid w:val="1BA90DF4"/>
    <w:rsid w:val="1BB76E65"/>
    <w:rsid w:val="1BCD0437"/>
    <w:rsid w:val="1C014A15"/>
    <w:rsid w:val="1C697720"/>
    <w:rsid w:val="1C9C03FD"/>
    <w:rsid w:val="1CAA546D"/>
    <w:rsid w:val="1CCF3068"/>
    <w:rsid w:val="1CD73159"/>
    <w:rsid w:val="1CEC53DC"/>
    <w:rsid w:val="1D0E6F59"/>
    <w:rsid w:val="1D552DD9"/>
    <w:rsid w:val="1D7E5E8C"/>
    <w:rsid w:val="1D9B3C57"/>
    <w:rsid w:val="1D9B6720"/>
    <w:rsid w:val="1DCD2FAD"/>
    <w:rsid w:val="1DD957B9"/>
    <w:rsid w:val="1E1D28C5"/>
    <w:rsid w:val="1EB853CE"/>
    <w:rsid w:val="1EFD1033"/>
    <w:rsid w:val="1F271A4D"/>
    <w:rsid w:val="1F63739D"/>
    <w:rsid w:val="1FD004F5"/>
    <w:rsid w:val="1FEF4E1F"/>
    <w:rsid w:val="201725C8"/>
    <w:rsid w:val="20347594"/>
    <w:rsid w:val="20432BA3"/>
    <w:rsid w:val="20D10916"/>
    <w:rsid w:val="21940529"/>
    <w:rsid w:val="21A8797C"/>
    <w:rsid w:val="21BA346A"/>
    <w:rsid w:val="21D36124"/>
    <w:rsid w:val="21F030D1"/>
    <w:rsid w:val="22360547"/>
    <w:rsid w:val="22657663"/>
    <w:rsid w:val="22900C5B"/>
    <w:rsid w:val="22A01AE8"/>
    <w:rsid w:val="22BD5CA4"/>
    <w:rsid w:val="22C46731"/>
    <w:rsid w:val="22F551A2"/>
    <w:rsid w:val="22F63B66"/>
    <w:rsid w:val="22FC6550"/>
    <w:rsid w:val="231C01D1"/>
    <w:rsid w:val="233D4DA9"/>
    <w:rsid w:val="238443FE"/>
    <w:rsid w:val="23A726AF"/>
    <w:rsid w:val="23E66539"/>
    <w:rsid w:val="24323C3C"/>
    <w:rsid w:val="24661428"/>
    <w:rsid w:val="24A15491"/>
    <w:rsid w:val="24DC1FA2"/>
    <w:rsid w:val="25290DD3"/>
    <w:rsid w:val="255E0351"/>
    <w:rsid w:val="26912BBE"/>
    <w:rsid w:val="271D4C6D"/>
    <w:rsid w:val="27601A2C"/>
    <w:rsid w:val="27764D2D"/>
    <w:rsid w:val="27930786"/>
    <w:rsid w:val="27B15219"/>
    <w:rsid w:val="27B2767A"/>
    <w:rsid w:val="27F5609D"/>
    <w:rsid w:val="281207F5"/>
    <w:rsid w:val="296A5176"/>
    <w:rsid w:val="29CE5107"/>
    <w:rsid w:val="29D27E76"/>
    <w:rsid w:val="2A1A2880"/>
    <w:rsid w:val="2A202079"/>
    <w:rsid w:val="2A5709DD"/>
    <w:rsid w:val="2AC17609"/>
    <w:rsid w:val="2AED3CD8"/>
    <w:rsid w:val="2B644051"/>
    <w:rsid w:val="2BA54637"/>
    <w:rsid w:val="2BD001FB"/>
    <w:rsid w:val="2BE05F64"/>
    <w:rsid w:val="2C375068"/>
    <w:rsid w:val="2C415E14"/>
    <w:rsid w:val="2C840380"/>
    <w:rsid w:val="2CFF5BF9"/>
    <w:rsid w:val="2D1E2F21"/>
    <w:rsid w:val="2D227891"/>
    <w:rsid w:val="2D2E3A18"/>
    <w:rsid w:val="2D3543F5"/>
    <w:rsid w:val="2D9C277F"/>
    <w:rsid w:val="2DFF6B75"/>
    <w:rsid w:val="2E4A44E1"/>
    <w:rsid w:val="2E505623"/>
    <w:rsid w:val="2E8250B1"/>
    <w:rsid w:val="2E9C3D58"/>
    <w:rsid w:val="2EAE3B92"/>
    <w:rsid w:val="2F0B32CB"/>
    <w:rsid w:val="2F2B74F6"/>
    <w:rsid w:val="2F566C69"/>
    <w:rsid w:val="2FD35FE0"/>
    <w:rsid w:val="3022643B"/>
    <w:rsid w:val="304F76C5"/>
    <w:rsid w:val="306F2500"/>
    <w:rsid w:val="307F7CD3"/>
    <w:rsid w:val="30901D07"/>
    <w:rsid w:val="309915E1"/>
    <w:rsid w:val="30B67293"/>
    <w:rsid w:val="311F283C"/>
    <w:rsid w:val="31E81F78"/>
    <w:rsid w:val="31F273BA"/>
    <w:rsid w:val="323679C5"/>
    <w:rsid w:val="32D61927"/>
    <w:rsid w:val="330B32C9"/>
    <w:rsid w:val="337D73C7"/>
    <w:rsid w:val="33BD403F"/>
    <w:rsid w:val="33D4745C"/>
    <w:rsid w:val="342A06C4"/>
    <w:rsid w:val="34E2510D"/>
    <w:rsid w:val="34FC5D1A"/>
    <w:rsid w:val="356579C5"/>
    <w:rsid w:val="35844D64"/>
    <w:rsid w:val="35B14E4E"/>
    <w:rsid w:val="35D00D13"/>
    <w:rsid w:val="35D816B9"/>
    <w:rsid w:val="36552126"/>
    <w:rsid w:val="368F5199"/>
    <w:rsid w:val="3699454E"/>
    <w:rsid w:val="36B77D65"/>
    <w:rsid w:val="374266BE"/>
    <w:rsid w:val="375A4BA5"/>
    <w:rsid w:val="37B165D2"/>
    <w:rsid w:val="38270559"/>
    <w:rsid w:val="383B4C4E"/>
    <w:rsid w:val="387263A8"/>
    <w:rsid w:val="38F82E30"/>
    <w:rsid w:val="39401044"/>
    <w:rsid w:val="39464EC6"/>
    <w:rsid w:val="39680CF0"/>
    <w:rsid w:val="39AC7EF3"/>
    <w:rsid w:val="3A0C5A97"/>
    <w:rsid w:val="3A3E0663"/>
    <w:rsid w:val="3AFA2E82"/>
    <w:rsid w:val="3B4E4304"/>
    <w:rsid w:val="3B7B7CB3"/>
    <w:rsid w:val="3BEF76A2"/>
    <w:rsid w:val="3C1A31C4"/>
    <w:rsid w:val="3C4827A3"/>
    <w:rsid w:val="3CBF505A"/>
    <w:rsid w:val="3CDE3DFA"/>
    <w:rsid w:val="3CFD4C82"/>
    <w:rsid w:val="3D670774"/>
    <w:rsid w:val="3D7820D7"/>
    <w:rsid w:val="3D895565"/>
    <w:rsid w:val="3DE360A4"/>
    <w:rsid w:val="3DF6156D"/>
    <w:rsid w:val="3E3C6B9A"/>
    <w:rsid w:val="3E8C5742"/>
    <w:rsid w:val="3EBA50EC"/>
    <w:rsid w:val="3EC24051"/>
    <w:rsid w:val="3F566814"/>
    <w:rsid w:val="3F624AC3"/>
    <w:rsid w:val="3F8F2819"/>
    <w:rsid w:val="3F9B273C"/>
    <w:rsid w:val="3F9B565A"/>
    <w:rsid w:val="3FB05DD8"/>
    <w:rsid w:val="3FB47094"/>
    <w:rsid w:val="3FD17791"/>
    <w:rsid w:val="402F2C5E"/>
    <w:rsid w:val="404B6E8B"/>
    <w:rsid w:val="408667A7"/>
    <w:rsid w:val="40CF697E"/>
    <w:rsid w:val="41123129"/>
    <w:rsid w:val="41594CA8"/>
    <w:rsid w:val="41664509"/>
    <w:rsid w:val="41815748"/>
    <w:rsid w:val="41A41AB6"/>
    <w:rsid w:val="42022339"/>
    <w:rsid w:val="42193413"/>
    <w:rsid w:val="423D3DD4"/>
    <w:rsid w:val="42514CC7"/>
    <w:rsid w:val="42EE1C67"/>
    <w:rsid w:val="42FD67B1"/>
    <w:rsid w:val="43082A83"/>
    <w:rsid w:val="434F77FF"/>
    <w:rsid w:val="437A27BF"/>
    <w:rsid w:val="43CC0E50"/>
    <w:rsid w:val="440403EA"/>
    <w:rsid w:val="4404683C"/>
    <w:rsid w:val="445E7E48"/>
    <w:rsid w:val="447C2876"/>
    <w:rsid w:val="45156827"/>
    <w:rsid w:val="456C5AAB"/>
    <w:rsid w:val="456D41B9"/>
    <w:rsid w:val="4588061E"/>
    <w:rsid w:val="458B6335"/>
    <w:rsid w:val="459250C4"/>
    <w:rsid w:val="45F25F2A"/>
    <w:rsid w:val="45FE1CA7"/>
    <w:rsid w:val="464078D3"/>
    <w:rsid w:val="468052EC"/>
    <w:rsid w:val="46BB75DF"/>
    <w:rsid w:val="46BC3F7B"/>
    <w:rsid w:val="46DA6011"/>
    <w:rsid w:val="46E22739"/>
    <w:rsid w:val="47033812"/>
    <w:rsid w:val="472B4CB7"/>
    <w:rsid w:val="477D0C08"/>
    <w:rsid w:val="47832D2F"/>
    <w:rsid w:val="486C5F17"/>
    <w:rsid w:val="48767C88"/>
    <w:rsid w:val="487D02F7"/>
    <w:rsid w:val="48832410"/>
    <w:rsid w:val="489A04F4"/>
    <w:rsid w:val="489B6B8C"/>
    <w:rsid w:val="489F766D"/>
    <w:rsid w:val="48EE6F6A"/>
    <w:rsid w:val="48F408B2"/>
    <w:rsid w:val="4903273F"/>
    <w:rsid w:val="491F6C60"/>
    <w:rsid w:val="49215A77"/>
    <w:rsid w:val="499E628F"/>
    <w:rsid w:val="4A1214FC"/>
    <w:rsid w:val="4A2A2595"/>
    <w:rsid w:val="4A57313D"/>
    <w:rsid w:val="4AA31FD4"/>
    <w:rsid w:val="4ABB0832"/>
    <w:rsid w:val="4AF179D1"/>
    <w:rsid w:val="4B210CAF"/>
    <w:rsid w:val="4B68727B"/>
    <w:rsid w:val="4B964438"/>
    <w:rsid w:val="4BBF56F2"/>
    <w:rsid w:val="4BC314E0"/>
    <w:rsid w:val="4C684DA8"/>
    <w:rsid w:val="4DA04239"/>
    <w:rsid w:val="4E583A53"/>
    <w:rsid w:val="4E617532"/>
    <w:rsid w:val="4EBE304F"/>
    <w:rsid w:val="4F36328E"/>
    <w:rsid w:val="4F4D2F87"/>
    <w:rsid w:val="4F540802"/>
    <w:rsid w:val="4FC32472"/>
    <w:rsid w:val="4FCF4407"/>
    <w:rsid w:val="501F64DD"/>
    <w:rsid w:val="505216FF"/>
    <w:rsid w:val="508A49AE"/>
    <w:rsid w:val="51453FF0"/>
    <w:rsid w:val="514C72EB"/>
    <w:rsid w:val="51633377"/>
    <w:rsid w:val="5170086A"/>
    <w:rsid w:val="51C27291"/>
    <w:rsid w:val="523E643C"/>
    <w:rsid w:val="528905B7"/>
    <w:rsid w:val="52913978"/>
    <w:rsid w:val="533313F7"/>
    <w:rsid w:val="537F451C"/>
    <w:rsid w:val="53834867"/>
    <w:rsid w:val="53C9075E"/>
    <w:rsid w:val="544571FC"/>
    <w:rsid w:val="54F15B76"/>
    <w:rsid w:val="54FA4C71"/>
    <w:rsid w:val="54FC424B"/>
    <w:rsid w:val="552D63F6"/>
    <w:rsid w:val="555E799E"/>
    <w:rsid w:val="55DF782F"/>
    <w:rsid w:val="56170AED"/>
    <w:rsid w:val="568B4B9B"/>
    <w:rsid w:val="56A21D16"/>
    <w:rsid w:val="56FF2E93"/>
    <w:rsid w:val="57733D47"/>
    <w:rsid w:val="589046EA"/>
    <w:rsid w:val="58CD1075"/>
    <w:rsid w:val="58E60627"/>
    <w:rsid w:val="58E80A23"/>
    <w:rsid w:val="59263585"/>
    <w:rsid w:val="594268F6"/>
    <w:rsid w:val="596B529F"/>
    <w:rsid w:val="59CD5810"/>
    <w:rsid w:val="59DB7BE7"/>
    <w:rsid w:val="59F82BC3"/>
    <w:rsid w:val="5A3211AE"/>
    <w:rsid w:val="5A405C9C"/>
    <w:rsid w:val="5A7C457D"/>
    <w:rsid w:val="5A802DFF"/>
    <w:rsid w:val="5AAB0C22"/>
    <w:rsid w:val="5ABF4E13"/>
    <w:rsid w:val="5AD13A82"/>
    <w:rsid w:val="5ADF3F7B"/>
    <w:rsid w:val="5AF62B85"/>
    <w:rsid w:val="5B030F22"/>
    <w:rsid w:val="5B75533C"/>
    <w:rsid w:val="5BB41A6A"/>
    <w:rsid w:val="5BC477BE"/>
    <w:rsid w:val="5BCB0D02"/>
    <w:rsid w:val="5BDF283A"/>
    <w:rsid w:val="5BE016BE"/>
    <w:rsid w:val="5BE74A3F"/>
    <w:rsid w:val="5C53579B"/>
    <w:rsid w:val="5C82434A"/>
    <w:rsid w:val="5CAE25A3"/>
    <w:rsid w:val="5DBB5D65"/>
    <w:rsid w:val="5DDD7D4F"/>
    <w:rsid w:val="5E0B5EBF"/>
    <w:rsid w:val="5E5149F4"/>
    <w:rsid w:val="5E5B30A5"/>
    <w:rsid w:val="5E8F18FE"/>
    <w:rsid w:val="5EB5689D"/>
    <w:rsid w:val="5EE4309A"/>
    <w:rsid w:val="5F357D99"/>
    <w:rsid w:val="5F421E70"/>
    <w:rsid w:val="5F8D06B3"/>
    <w:rsid w:val="5F9767C2"/>
    <w:rsid w:val="5FE601D0"/>
    <w:rsid w:val="605D3104"/>
    <w:rsid w:val="60AE79BA"/>
    <w:rsid w:val="61B3144F"/>
    <w:rsid w:val="61ED1D9D"/>
    <w:rsid w:val="621906A1"/>
    <w:rsid w:val="62223DE6"/>
    <w:rsid w:val="625F2EF1"/>
    <w:rsid w:val="62715700"/>
    <w:rsid w:val="62D7276E"/>
    <w:rsid w:val="634202AD"/>
    <w:rsid w:val="638C5AAE"/>
    <w:rsid w:val="63D23CF5"/>
    <w:rsid w:val="63F43D7F"/>
    <w:rsid w:val="640041D3"/>
    <w:rsid w:val="641969E9"/>
    <w:rsid w:val="64592443"/>
    <w:rsid w:val="647F3644"/>
    <w:rsid w:val="64836EB1"/>
    <w:rsid w:val="64BC3253"/>
    <w:rsid w:val="64FD4EB5"/>
    <w:rsid w:val="658E3D60"/>
    <w:rsid w:val="65BD383A"/>
    <w:rsid w:val="65BE4BDE"/>
    <w:rsid w:val="65ED4564"/>
    <w:rsid w:val="65FF07B9"/>
    <w:rsid w:val="661204ED"/>
    <w:rsid w:val="66277389"/>
    <w:rsid w:val="663A4273"/>
    <w:rsid w:val="66477750"/>
    <w:rsid w:val="66AD470D"/>
    <w:rsid w:val="66EB7D79"/>
    <w:rsid w:val="66FC6213"/>
    <w:rsid w:val="671C21CB"/>
    <w:rsid w:val="674A63AC"/>
    <w:rsid w:val="676E38BA"/>
    <w:rsid w:val="67821B22"/>
    <w:rsid w:val="678E2E09"/>
    <w:rsid w:val="67B06C49"/>
    <w:rsid w:val="67C618F1"/>
    <w:rsid w:val="67F11B34"/>
    <w:rsid w:val="682D7F1E"/>
    <w:rsid w:val="682F205A"/>
    <w:rsid w:val="688334C4"/>
    <w:rsid w:val="68EA28E9"/>
    <w:rsid w:val="69542F02"/>
    <w:rsid w:val="695B21AB"/>
    <w:rsid w:val="699E7EEC"/>
    <w:rsid w:val="69AB0FA4"/>
    <w:rsid w:val="69B03BA8"/>
    <w:rsid w:val="69DA7573"/>
    <w:rsid w:val="6A2D08A0"/>
    <w:rsid w:val="6A3550F2"/>
    <w:rsid w:val="6A9839F8"/>
    <w:rsid w:val="6AFF7146"/>
    <w:rsid w:val="6B2D7A85"/>
    <w:rsid w:val="6B33683F"/>
    <w:rsid w:val="6B8E29AA"/>
    <w:rsid w:val="6BFD39ED"/>
    <w:rsid w:val="6C264CF2"/>
    <w:rsid w:val="6C301C79"/>
    <w:rsid w:val="6C392B7B"/>
    <w:rsid w:val="6C9F4AA4"/>
    <w:rsid w:val="6CB100E7"/>
    <w:rsid w:val="6CBC11B2"/>
    <w:rsid w:val="6D4E5DC0"/>
    <w:rsid w:val="6D770380"/>
    <w:rsid w:val="6D7F71A8"/>
    <w:rsid w:val="6D93000A"/>
    <w:rsid w:val="6DBA7A98"/>
    <w:rsid w:val="6DBB7FED"/>
    <w:rsid w:val="6DE500A2"/>
    <w:rsid w:val="6E2E4332"/>
    <w:rsid w:val="6E341DD0"/>
    <w:rsid w:val="6E5B0E06"/>
    <w:rsid w:val="6E5B22EB"/>
    <w:rsid w:val="6E6A3CEA"/>
    <w:rsid w:val="6E731D44"/>
    <w:rsid w:val="6F3413A6"/>
    <w:rsid w:val="6F3D536C"/>
    <w:rsid w:val="6F581AE2"/>
    <w:rsid w:val="6F973D9C"/>
    <w:rsid w:val="6FC40194"/>
    <w:rsid w:val="6FDC74F9"/>
    <w:rsid w:val="6FF86747"/>
    <w:rsid w:val="700522CC"/>
    <w:rsid w:val="70465CE6"/>
    <w:rsid w:val="711201B3"/>
    <w:rsid w:val="71296110"/>
    <w:rsid w:val="71404A08"/>
    <w:rsid w:val="71AC5D26"/>
    <w:rsid w:val="71C35211"/>
    <w:rsid w:val="72016718"/>
    <w:rsid w:val="721A2F83"/>
    <w:rsid w:val="722E1DED"/>
    <w:rsid w:val="72374797"/>
    <w:rsid w:val="72C64CE3"/>
    <w:rsid w:val="733028FA"/>
    <w:rsid w:val="738C633D"/>
    <w:rsid w:val="73E42338"/>
    <w:rsid w:val="74640AAD"/>
    <w:rsid w:val="74F82289"/>
    <w:rsid w:val="75043042"/>
    <w:rsid w:val="75115ED5"/>
    <w:rsid w:val="754C038C"/>
    <w:rsid w:val="75541000"/>
    <w:rsid w:val="756155F2"/>
    <w:rsid w:val="756D1A2D"/>
    <w:rsid w:val="75752846"/>
    <w:rsid w:val="762A6956"/>
    <w:rsid w:val="767D459E"/>
    <w:rsid w:val="769F3946"/>
    <w:rsid w:val="76B43CF5"/>
    <w:rsid w:val="76CD2DB9"/>
    <w:rsid w:val="771B5705"/>
    <w:rsid w:val="77660698"/>
    <w:rsid w:val="777953BA"/>
    <w:rsid w:val="779F1DFC"/>
    <w:rsid w:val="77C879E1"/>
    <w:rsid w:val="782347DB"/>
    <w:rsid w:val="7827017C"/>
    <w:rsid w:val="784D5ECF"/>
    <w:rsid w:val="79032394"/>
    <w:rsid w:val="793B2638"/>
    <w:rsid w:val="795953D2"/>
    <w:rsid w:val="79940EF9"/>
    <w:rsid w:val="79A65581"/>
    <w:rsid w:val="79B1321F"/>
    <w:rsid w:val="79B87E6E"/>
    <w:rsid w:val="79CB6289"/>
    <w:rsid w:val="79CE6FB8"/>
    <w:rsid w:val="7A296E90"/>
    <w:rsid w:val="7A682025"/>
    <w:rsid w:val="7B3F7B7E"/>
    <w:rsid w:val="7BA37EA7"/>
    <w:rsid w:val="7C09226E"/>
    <w:rsid w:val="7C150BA0"/>
    <w:rsid w:val="7C217284"/>
    <w:rsid w:val="7C341A64"/>
    <w:rsid w:val="7C4B4301"/>
    <w:rsid w:val="7C6929D9"/>
    <w:rsid w:val="7CBB77F6"/>
    <w:rsid w:val="7CE406AC"/>
    <w:rsid w:val="7CE83E99"/>
    <w:rsid w:val="7D3B4375"/>
    <w:rsid w:val="7D554915"/>
    <w:rsid w:val="7D8F021D"/>
    <w:rsid w:val="7DA0004D"/>
    <w:rsid w:val="7DBD2C9F"/>
    <w:rsid w:val="7DFD60A2"/>
    <w:rsid w:val="7E14458D"/>
    <w:rsid w:val="7E2D1F10"/>
    <w:rsid w:val="7E3D2CE1"/>
    <w:rsid w:val="7E6671D0"/>
    <w:rsid w:val="7E87759B"/>
    <w:rsid w:val="7EA700ED"/>
    <w:rsid w:val="7ECC7D7E"/>
    <w:rsid w:val="7F1363F7"/>
    <w:rsid w:val="7F17671C"/>
    <w:rsid w:val="7FA3634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jc w:val="center"/>
      <w:outlineLvl w:val="0"/>
    </w:pPr>
    <w:rPr>
      <w:rFonts w:ascii="黑体" w:eastAsia="黑体"/>
      <w:sz w:val="5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5">
    <w:name w:val="Normal Indent"/>
    <w:basedOn w:val="1"/>
    <w:next w:val="1"/>
    <w:qFormat/>
    <w:uiPriority w:val="0"/>
    <w:pPr>
      <w:autoSpaceDE w:val="0"/>
      <w:autoSpaceDN w:val="0"/>
      <w:adjustRightInd w:val="0"/>
      <w:ind w:firstLine="420"/>
    </w:pPr>
    <w:rPr>
      <w:rFonts w:ascii="宋体"/>
      <w:sz w:val="24"/>
    </w:rPr>
  </w:style>
  <w:style w:type="paragraph" w:styleId="6">
    <w:name w:val="Document Map"/>
    <w:basedOn w:val="1"/>
    <w:next w:val="1"/>
    <w:link w:val="57"/>
    <w:qFormat/>
    <w:uiPriority w:val="0"/>
    <w:rPr>
      <w:rFonts w:ascii="宋体"/>
      <w:sz w:val="18"/>
      <w:szCs w:val="18"/>
    </w:rPr>
  </w:style>
  <w:style w:type="paragraph" w:styleId="7">
    <w:name w:val="annotation text"/>
    <w:basedOn w:val="1"/>
    <w:link w:val="50"/>
    <w:qFormat/>
    <w:uiPriority w:val="0"/>
    <w:pPr>
      <w:jc w:val="left"/>
    </w:pPr>
  </w:style>
  <w:style w:type="paragraph" w:styleId="8">
    <w:name w:val="Body Text Indent"/>
    <w:basedOn w:val="1"/>
    <w:next w:val="1"/>
    <w:qFormat/>
    <w:uiPriority w:val="0"/>
    <w:pPr>
      <w:spacing w:line="200" w:lineRule="exact"/>
      <w:ind w:firstLine="301"/>
    </w:pPr>
    <w:rPr>
      <w:rFonts w:ascii="宋体" w:hAnsi="Courier New"/>
      <w:spacing w:val="-4"/>
      <w:sz w:val="18"/>
      <w:szCs w:val="20"/>
    </w:rPr>
  </w:style>
  <w:style w:type="paragraph" w:styleId="9">
    <w:name w:val="Block Text"/>
    <w:basedOn w:val="1"/>
    <w:qFormat/>
    <w:uiPriority w:val="0"/>
    <w:pPr>
      <w:widowControl/>
      <w:spacing w:before="100" w:beforeAutospacing="1" w:after="100" w:afterAutospacing="1"/>
      <w:jc w:val="left"/>
    </w:pPr>
    <w:rPr>
      <w:rFonts w:ascii="宋体" w:hAnsi="宋体" w:cs="宋体"/>
      <w:kern w:val="0"/>
      <w:sz w:val="24"/>
    </w:rPr>
  </w:style>
  <w:style w:type="paragraph" w:styleId="10">
    <w:name w:val="Plain Text"/>
    <w:basedOn w:val="1"/>
    <w:next w:val="5"/>
    <w:link w:val="55"/>
    <w:qFormat/>
    <w:uiPriority w:val="0"/>
    <w:rPr>
      <w:rFonts w:ascii="宋体" w:hAnsi="Courier New" w:cs="Courier New"/>
      <w:szCs w:val="21"/>
    </w:rPr>
  </w:style>
  <w:style w:type="paragraph" w:styleId="11">
    <w:name w:val="Date"/>
    <w:basedOn w:val="1"/>
    <w:next w:val="1"/>
    <w:qFormat/>
    <w:uiPriority w:val="0"/>
    <w:rPr>
      <w:rFonts w:ascii="宋体" w:hAnsi="宋体"/>
      <w:sz w:val="24"/>
    </w:rPr>
  </w:style>
  <w:style w:type="paragraph" w:styleId="12">
    <w:name w:val="Body Text Indent 2"/>
    <w:basedOn w:val="1"/>
    <w:link w:val="43"/>
    <w:qFormat/>
    <w:uiPriority w:val="0"/>
    <w:pPr>
      <w:spacing w:after="120" w:line="480" w:lineRule="auto"/>
      <w:ind w:left="420" w:leftChars="200"/>
    </w:pPr>
  </w:style>
  <w:style w:type="paragraph" w:styleId="13">
    <w:name w:val="Balloon Text"/>
    <w:basedOn w:val="1"/>
    <w:semiHidden/>
    <w:qFormat/>
    <w:uiPriority w:val="0"/>
    <w:rPr>
      <w:sz w:val="18"/>
      <w:szCs w:val="18"/>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envelope return"/>
    <w:basedOn w:val="1"/>
    <w:next w:val="1"/>
    <w:qFormat/>
    <w:uiPriority w:val="0"/>
    <w:pPr>
      <w:snapToGrid w:val="0"/>
      <w:jc w:val="center"/>
    </w:pPr>
    <w:rPr>
      <w:sz w:val="24"/>
    </w:rPr>
  </w:style>
  <w:style w:type="paragraph" w:styleId="16">
    <w:name w:val="header"/>
    <w:basedOn w:val="1"/>
    <w:link w:val="49"/>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spacing w:before="120" w:after="120"/>
      <w:jc w:val="left"/>
    </w:pPr>
    <w:rPr>
      <w:b/>
      <w:bCs/>
      <w:caps/>
      <w:sz w:val="20"/>
      <w:szCs w:val="20"/>
    </w:rPr>
  </w:style>
  <w:style w:type="paragraph" w:styleId="18">
    <w:name w:val="toc 4"/>
    <w:basedOn w:val="1"/>
    <w:next w:val="1"/>
    <w:qFormat/>
    <w:uiPriority w:val="0"/>
    <w:pPr>
      <w:ind w:left="1260"/>
    </w:pPr>
  </w:style>
  <w:style w:type="paragraph" w:styleId="19">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0">
    <w:name w:val="annotation subject"/>
    <w:basedOn w:val="7"/>
    <w:next w:val="7"/>
    <w:link w:val="53"/>
    <w:qFormat/>
    <w:uiPriority w:val="0"/>
    <w:rPr>
      <w:b/>
      <w:bCs/>
    </w:rPr>
  </w:style>
  <w:style w:type="paragraph" w:styleId="21">
    <w:name w:val="Body Text First Indent 2"/>
    <w:basedOn w:val="1"/>
    <w:next w:val="1"/>
    <w:qFormat/>
    <w:uiPriority w:val="0"/>
    <w:pPr>
      <w:ind w:firstLine="420"/>
    </w:pPr>
  </w:style>
  <w:style w:type="table" w:styleId="23">
    <w:name w:val="Table Grid"/>
    <w:basedOn w:val="22"/>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page number"/>
    <w:basedOn w:val="24"/>
    <w:qFormat/>
    <w:uiPriority w:val="0"/>
  </w:style>
  <w:style w:type="character" w:styleId="27">
    <w:name w:val="FollowedHyperlink"/>
    <w:basedOn w:val="24"/>
    <w:qFormat/>
    <w:uiPriority w:val="0"/>
    <w:rPr>
      <w:color w:val="333333"/>
      <w:u w:val="none"/>
    </w:rPr>
  </w:style>
  <w:style w:type="character" w:styleId="28">
    <w:name w:val="Emphasis"/>
    <w:basedOn w:val="24"/>
    <w:qFormat/>
    <w:uiPriority w:val="0"/>
  </w:style>
  <w:style w:type="character" w:styleId="29">
    <w:name w:val="HTML Definition"/>
    <w:basedOn w:val="24"/>
    <w:qFormat/>
    <w:uiPriority w:val="0"/>
  </w:style>
  <w:style w:type="character" w:styleId="30">
    <w:name w:val="HTML Acronym"/>
    <w:basedOn w:val="24"/>
    <w:qFormat/>
    <w:uiPriority w:val="0"/>
  </w:style>
  <w:style w:type="character" w:styleId="31">
    <w:name w:val="HTML Variable"/>
    <w:basedOn w:val="24"/>
    <w:qFormat/>
    <w:uiPriority w:val="0"/>
  </w:style>
  <w:style w:type="character" w:styleId="32">
    <w:name w:val="Hyperlink"/>
    <w:qFormat/>
    <w:uiPriority w:val="0"/>
    <w:rPr>
      <w:color w:val="000000"/>
      <w:u w:val="none"/>
    </w:rPr>
  </w:style>
  <w:style w:type="character" w:styleId="33">
    <w:name w:val="HTML Code"/>
    <w:basedOn w:val="24"/>
    <w:qFormat/>
    <w:uiPriority w:val="0"/>
    <w:rPr>
      <w:rFonts w:ascii="Courier New" w:hAnsi="Courier New"/>
      <w:sz w:val="20"/>
    </w:rPr>
  </w:style>
  <w:style w:type="character" w:styleId="34">
    <w:name w:val="annotation reference"/>
    <w:basedOn w:val="24"/>
    <w:qFormat/>
    <w:uiPriority w:val="0"/>
    <w:rPr>
      <w:sz w:val="21"/>
      <w:szCs w:val="21"/>
    </w:rPr>
  </w:style>
  <w:style w:type="character" w:styleId="35">
    <w:name w:val="HTML Cite"/>
    <w:basedOn w:val="24"/>
    <w:qFormat/>
    <w:uiPriority w:val="0"/>
  </w:style>
  <w:style w:type="paragraph" w:customStyle="1" w:styleId="36">
    <w:name w:val="Default"/>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customStyle="1" w:styleId="37">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character" w:customStyle="1" w:styleId="38">
    <w:name w:val="font61"/>
    <w:basedOn w:val="24"/>
    <w:qFormat/>
    <w:uiPriority w:val="0"/>
    <w:rPr>
      <w:rFonts w:hint="eastAsia" w:ascii="宋体" w:hAnsi="宋体" w:eastAsia="宋体" w:cs="宋体"/>
      <w:b/>
      <w:color w:val="000000"/>
      <w:sz w:val="24"/>
      <w:szCs w:val="24"/>
      <w:u w:val="none"/>
    </w:rPr>
  </w:style>
  <w:style w:type="character" w:customStyle="1" w:styleId="39">
    <w:name w:val="font11"/>
    <w:basedOn w:val="24"/>
    <w:qFormat/>
    <w:uiPriority w:val="0"/>
    <w:rPr>
      <w:rFonts w:hint="default" w:ascii="Arial" w:hAnsi="Arial" w:cs="Arial"/>
      <w:color w:val="FF0000"/>
      <w:sz w:val="20"/>
      <w:szCs w:val="20"/>
      <w:u w:val="none"/>
    </w:rPr>
  </w:style>
  <w:style w:type="character" w:customStyle="1" w:styleId="40">
    <w:name w:val="font01"/>
    <w:basedOn w:val="24"/>
    <w:qFormat/>
    <w:uiPriority w:val="0"/>
    <w:rPr>
      <w:rFonts w:hint="default" w:ascii="Arial" w:hAnsi="Arial" w:cs="Arial"/>
      <w:color w:val="000000"/>
      <w:sz w:val="20"/>
      <w:szCs w:val="20"/>
      <w:u w:val="none"/>
    </w:rPr>
  </w:style>
  <w:style w:type="character" w:customStyle="1" w:styleId="41">
    <w:name w:val="font51"/>
    <w:basedOn w:val="24"/>
    <w:qFormat/>
    <w:uiPriority w:val="0"/>
    <w:rPr>
      <w:rFonts w:hint="eastAsia" w:ascii="宋体" w:hAnsi="宋体" w:eastAsia="宋体" w:cs="宋体"/>
      <w:color w:val="FF0000"/>
      <w:sz w:val="20"/>
      <w:szCs w:val="20"/>
      <w:u w:val="none"/>
    </w:rPr>
  </w:style>
  <w:style w:type="character" w:customStyle="1" w:styleId="42">
    <w:name w:val="font31"/>
    <w:basedOn w:val="24"/>
    <w:qFormat/>
    <w:uiPriority w:val="0"/>
    <w:rPr>
      <w:rFonts w:hint="eastAsia" w:ascii="宋体" w:hAnsi="宋体" w:eastAsia="宋体" w:cs="宋体"/>
      <w:color w:val="000000"/>
      <w:sz w:val="20"/>
      <w:szCs w:val="20"/>
      <w:u w:val="none"/>
    </w:rPr>
  </w:style>
  <w:style w:type="character" w:customStyle="1" w:styleId="43">
    <w:name w:val="正文文本缩进 2 字符"/>
    <w:link w:val="12"/>
    <w:qFormat/>
    <w:uiPriority w:val="0"/>
    <w:rPr>
      <w:kern w:val="2"/>
      <w:sz w:val="21"/>
      <w:szCs w:val="24"/>
    </w:rPr>
  </w:style>
  <w:style w:type="character" w:customStyle="1" w:styleId="44">
    <w:name w:val="Char Char3"/>
    <w:qFormat/>
    <w:locked/>
    <w:uiPriority w:val="0"/>
    <w:rPr>
      <w:rFonts w:ascii="宋体" w:hAnsi="Courier New" w:eastAsia="宋体"/>
      <w:kern w:val="2"/>
      <w:sz w:val="21"/>
      <w:lang w:val="en-US" w:eastAsia="zh-CN" w:bidi="ar-SA"/>
    </w:rPr>
  </w:style>
  <w:style w:type="character" w:customStyle="1" w:styleId="45">
    <w:name w:val="font41"/>
    <w:basedOn w:val="24"/>
    <w:qFormat/>
    <w:uiPriority w:val="0"/>
    <w:rPr>
      <w:rFonts w:hint="default" w:ascii="Arial" w:hAnsi="Arial" w:cs="Arial"/>
      <w:color w:val="FF0000"/>
      <w:sz w:val="20"/>
      <w:szCs w:val="20"/>
      <w:u w:val="none"/>
    </w:rPr>
  </w:style>
  <w:style w:type="character" w:customStyle="1" w:styleId="46">
    <w:name w:val="font81"/>
    <w:basedOn w:val="24"/>
    <w:qFormat/>
    <w:uiPriority w:val="0"/>
    <w:rPr>
      <w:rFonts w:hint="eastAsia" w:ascii="宋体" w:hAnsi="宋体" w:eastAsia="宋体" w:cs="宋体"/>
      <w:b/>
      <w:color w:val="000000"/>
      <w:sz w:val="22"/>
      <w:szCs w:val="22"/>
      <w:u w:val="none"/>
    </w:rPr>
  </w:style>
  <w:style w:type="character" w:customStyle="1" w:styleId="47">
    <w:name w:val="样式 纯文本 + (符号) 宋体 Char"/>
    <w:link w:val="48"/>
    <w:qFormat/>
    <w:uiPriority w:val="0"/>
    <w:rPr>
      <w:rFonts w:ascii="宋体" w:hAnsi="Courier New" w:eastAsia="宋体"/>
      <w:kern w:val="2"/>
      <w:sz w:val="21"/>
      <w:lang w:val="en-US" w:eastAsia="zh-CN" w:bidi="ar-SA"/>
    </w:rPr>
  </w:style>
  <w:style w:type="paragraph" w:customStyle="1" w:styleId="48">
    <w:name w:val="样式 纯文本 + (符号) 宋体"/>
    <w:basedOn w:val="10"/>
    <w:link w:val="47"/>
    <w:qFormat/>
    <w:uiPriority w:val="0"/>
    <w:pPr>
      <w:jc w:val="center"/>
    </w:pPr>
    <w:rPr>
      <w:rFonts w:cs="Times New Roman"/>
      <w:szCs w:val="20"/>
    </w:rPr>
  </w:style>
  <w:style w:type="character" w:customStyle="1" w:styleId="49">
    <w:name w:val="页眉 字符"/>
    <w:basedOn w:val="24"/>
    <w:link w:val="16"/>
    <w:qFormat/>
    <w:uiPriority w:val="99"/>
    <w:rPr>
      <w:kern w:val="2"/>
      <w:sz w:val="18"/>
      <w:szCs w:val="18"/>
    </w:rPr>
  </w:style>
  <w:style w:type="character" w:customStyle="1" w:styleId="50">
    <w:name w:val="批注文字 字符"/>
    <w:basedOn w:val="24"/>
    <w:link w:val="7"/>
    <w:qFormat/>
    <w:uiPriority w:val="0"/>
    <w:rPr>
      <w:kern w:val="2"/>
      <w:sz w:val="21"/>
      <w:szCs w:val="24"/>
    </w:rPr>
  </w:style>
  <w:style w:type="character" w:customStyle="1" w:styleId="51">
    <w:name w:val="font71"/>
    <w:basedOn w:val="24"/>
    <w:qFormat/>
    <w:uiPriority w:val="0"/>
    <w:rPr>
      <w:rFonts w:hint="eastAsia" w:ascii="宋体" w:hAnsi="宋体" w:eastAsia="宋体" w:cs="宋体"/>
      <w:color w:val="000000"/>
      <w:sz w:val="20"/>
      <w:szCs w:val="20"/>
      <w:u w:val="none"/>
    </w:rPr>
  </w:style>
  <w:style w:type="character" w:customStyle="1" w:styleId="52">
    <w:name w:val="font21"/>
    <w:basedOn w:val="24"/>
    <w:qFormat/>
    <w:uiPriority w:val="0"/>
    <w:rPr>
      <w:rFonts w:hint="eastAsia" w:ascii="宋体" w:hAnsi="宋体" w:eastAsia="宋体" w:cs="宋体"/>
      <w:color w:val="000000"/>
      <w:sz w:val="20"/>
      <w:szCs w:val="20"/>
      <w:u w:val="none"/>
    </w:rPr>
  </w:style>
  <w:style w:type="character" w:customStyle="1" w:styleId="53">
    <w:name w:val="批注主题 字符"/>
    <w:basedOn w:val="50"/>
    <w:link w:val="20"/>
    <w:qFormat/>
    <w:uiPriority w:val="0"/>
    <w:rPr>
      <w:kern w:val="2"/>
      <w:sz w:val="21"/>
      <w:szCs w:val="24"/>
    </w:rPr>
  </w:style>
  <w:style w:type="character" w:customStyle="1" w:styleId="54">
    <w:name w:val="apple-converted-space"/>
    <w:basedOn w:val="24"/>
    <w:qFormat/>
    <w:uiPriority w:val="0"/>
  </w:style>
  <w:style w:type="character" w:customStyle="1" w:styleId="55">
    <w:name w:val="纯文本 字符"/>
    <w:link w:val="10"/>
    <w:qFormat/>
    <w:uiPriority w:val="0"/>
    <w:rPr>
      <w:rFonts w:ascii="宋体" w:hAnsi="Courier New" w:eastAsia="宋体" w:cs="Courier New"/>
      <w:kern w:val="2"/>
      <w:sz w:val="21"/>
      <w:szCs w:val="21"/>
      <w:lang w:val="en-US" w:eastAsia="zh-CN" w:bidi="ar-SA"/>
    </w:rPr>
  </w:style>
  <w:style w:type="paragraph" w:customStyle="1" w:styleId="56">
    <w:name w:val="plaintext"/>
    <w:basedOn w:val="1"/>
    <w:qFormat/>
    <w:uiPriority w:val="0"/>
    <w:pPr>
      <w:widowControl/>
      <w:spacing w:before="100" w:beforeAutospacing="1" w:after="100" w:afterAutospacing="1"/>
      <w:jc w:val="left"/>
    </w:pPr>
    <w:rPr>
      <w:rFonts w:ascii="宋体" w:hAnsi="宋体" w:cs="宋体"/>
      <w:kern w:val="0"/>
      <w:sz w:val="24"/>
    </w:rPr>
  </w:style>
  <w:style w:type="character" w:customStyle="1" w:styleId="57">
    <w:name w:val="文档结构图 字符"/>
    <w:basedOn w:val="24"/>
    <w:link w:val="6"/>
    <w:qFormat/>
    <w:uiPriority w:val="0"/>
    <w:rPr>
      <w:rFonts w:ascii="宋体"/>
      <w:kern w:val="2"/>
      <w:sz w:val="18"/>
      <w:szCs w:val="18"/>
    </w:rPr>
  </w:style>
  <w:style w:type="paragraph" w:customStyle="1" w:styleId="58">
    <w:name w:val="纯文本11"/>
    <w:next w:val="18"/>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59">
    <w:name w:val="纯文本2"/>
    <w:next w:val="18"/>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60">
    <w:name w:val="纯文本1"/>
    <w:next w:val="18"/>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61">
    <w:name w:val="纯文本12"/>
    <w:next w:val="18"/>
    <w:qFormat/>
    <w:uiPriority w:val="0"/>
    <w:pPr>
      <w:widowControl w:val="0"/>
      <w:adjustRightInd w:val="0"/>
      <w:jc w:val="both"/>
    </w:pPr>
    <w:rPr>
      <w:rFonts w:ascii="宋体" w:hAnsi="宋体" w:eastAsia="楷体_GB2312" w:cs="Times New Roman"/>
      <w:kern w:val="2"/>
      <w:sz w:val="26"/>
      <w:szCs w:val="22"/>
      <w:lang w:val="en-US" w:eastAsia="zh-CN" w:bidi="ar-SA"/>
    </w:rPr>
  </w:style>
  <w:style w:type="paragraph" w:styleId="62">
    <w:name w:val="List Paragraph"/>
    <w:basedOn w:val="1"/>
    <w:qFormat/>
    <w:uiPriority w:val="34"/>
    <w:pPr>
      <w:ind w:firstLine="420" w:firstLineChars="200"/>
    </w:pPr>
  </w:style>
  <w:style w:type="paragraph" w:customStyle="1" w:styleId="63">
    <w:name w:val="无间隔1"/>
    <w:basedOn w:val="1"/>
    <w:qFormat/>
    <w:uiPriority w:val="0"/>
  </w:style>
  <w:style w:type="character" w:customStyle="1" w:styleId="64">
    <w:name w:val="font131"/>
    <w:basedOn w:val="24"/>
    <w:qFormat/>
    <w:uiPriority w:val="0"/>
    <w:rPr>
      <w:rFonts w:hint="eastAsia" w:ascii="仿宋" w:hAnsi="仿宋" w:eastAsia="仿宋" w:cs="仿宋"/>
      <w:color w:val="000000"/>
      <w:sz w:val="20"/>
      <w:szCs w:val="20"/>
      <w:u w:val="none"/>
    </w:rPr>
  </w:style>
  <w:style w:type="character" w:customStyle="1" w:styleId="65">
    <w:name w:val="font142"/>
    <w:basedOn w:val="24"/>
    <w:qFormat/>
    <w:uiPriority w:val="0"/>
    <w:rPr>
      <w:rFonts w:hint="eastAsia" w:ascii="仿宋" w:hAnsi="仿宋" w:eastAsia="仿宋" w:cs="仿宋"/>
      <w:color w:val="000000"/>
      <w:sz w:val="20"/>
      <w:szCs w:val="20"/>
      <w:u w:val="none"/>
      <w:vertAlign w:val="subscript"/>
    </w:rPr>
  </w:style>
  <w:style w:type="paragraph" w:customStyle="1" w:styleId="66">
    <w:name w:val="表格内容"/>
    <w:basedOn w:val="1"/>
    <w:qFormat/>
    <w:uiPriority w:val="0"/>
    <w:pPr>
      <w:jc w:val="center"/>
    </w:pPr>
    <w:rPr>
      <w:rFonts w:eastAsia="仿宋_GB2312"/>
      <w:sz w:val="18"/>
      <w:szCs w:val="21"/>
    </w:rPr>
  </w:style>
  <w:style w:type="paragraph" w:customStyle="1" w:styleId="67">
    <w:name w:val="图表名"/>
    <w:next w:val="1"/>
    <w:qFormat/>
    <w:uiPriority w:val="0"/>
    <w:pPr>
      <w:jc w:val="center"/>
    </w:pPr>
    <w:rPr>
      <w:rFonts w:ascii="Times New Roman" w:hAnsi="Times New Roman" w:eastAsia="黑体" w:cstheme="minorBidi"/>
      <w:b/>
      <w:bCs/>
      <w:kern w:val="44"/>
      <w:sz w:val="21"/>
      <w:szCs w:val="44"/>
      <w:lang w:val="en-US" w:eastAsia="zh-CN" w:bidi="ar-SA"/>
    </w:rPr>
  </w:style>
  <w:style w:type="paragraph" w:customStyle="1" w:styleId="68">
    <w:name w:val="图表"/>
    <w:basedOn w:val="67"/>
    <w:next w:val="67"/>
    <w:qFormat/>
    <w:uiPriority w:val="0"/>
    <w:rPr>
      <w:rFonts w:eastAsia="仿宋"/>
      <w:b w:val="0"/>
      <w:sz w:val="24"/>
    </w:rPr>
  </w:style>
  <w:style w:type="paragraph" w:customStyle="1" w:styleId="69">
    <w:name w:val="修订1"/>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39649A-CBBF-417C-9FC4-F8E334020C1C}">
  <ds:schemaRefs/>
</ds:datastoreItem>
</file>

<file path=docProps/app.xml><?xml version="1.0" encoding="utf-8"?>
<Properties xmlns="http://schemas.openxmlformats.org/officeDocument/2006/extended-properties" xmlns:vt="http://schemas.openxmlformats.org/officeDocument/2006/docPropsVTypes">
  <Template>Normal</Template>
  <Company>微软公司</Company>
  <Pages>33</Pages>
  <Words>17086</Words>
  <Characters>18194</Characters>
  <Lines>148</Lines>
  <Paragraphs>41</Paragraphs>
  <TotalTime>60</TotalTime>
  <ScaleCrop>false</ScaleCrop>
  <LinksUpToDate>false</LinksUpToDate>
  <CharactersWithSpaces>19373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2023-06-27T07:15:00Z</dcterms:created>
  <dc:creator>雨林木风</dc:creator>
  <cp:lastModifiedBy>wjenne</cp:lastModifiedBy>
  <cp:lastPrinted>2016-04-07T05:43:00Z</cp:lastPrinted>
  <dcterms:modified xsi:type="dcterms:W3CDTF">2023-11-06T07:41:43Z</dcterms:modified>
  <dc:title>询价采购通知</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E20063F0AF1D477FBC6896BA5A8E3105_13</vt:lpwstr>
  </property>
</Properties>
</file>