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napToGrid w:val="0"/>
        <w:jc w:val="center"/>
        <w:rPr>
          <w:rFonts w:ascii="Times New Roman" w:hAnsi="Times New Roman" w:eastAsia="黑体" w:cs="Times New Roman"/>
          <w:b/>
          <w:bCs/>
          <w:spacing w:val="80"/>
          <w:sz w:val="48"/>
          <w:szCs w:val="48"/>
        </w:rPr>
      </w:pPr>
    </w:p>
    <w:p>
      <w:pPr>
        <w:rPr>
          <w:sz w:val="44"/>
          <w:szCs w:val="44"/>
        </w:rPr>
      </w:pPr>
    </w:p>
    <w:p>
      <w:pPr>
        <w:spacing w:line="680" w:lineRule="exact"/>
        <w:jc w:val="center"/>
        <w:rPr>
          <w:sz w:val="52"/>
          <w:szCs w:val="52"/>
        </w:rPr>
      </w:pPr>
      <w:r>
        <w:rPr>
          <w:sz w:val="52"/>
          <w:szCs w:val="52"/>
        </w:rPr>
        <w:t xml:space="preserve"> </w:t>
      </w:r>
    </w:p>
    <w:p>
      <w:pPr>
        <w:spacing w:line="680" w:lineRule="exact"/>
        <w:jc w:val="center"/>
        <w:rPr>
          <w:sz w:val="44"/>
          <w:szCs w:val="44"/>
        </w:rPr>
      </w:pPr>
    </w:p>
    <w:p>
      <w:pPr>
        <w:pStyle w:val="37"/>
        <w:rPr>
          <w:rFonts w:ascii="Times New Roman" w:cs="Times New Roman"/>
          <w:sz w:val="44"/>
          <w:szCs w:val="44"/>
        </w:rPr>
      </w:pPr>
    </w:p>
    <w:p>
      <w:pPr>
        <w:pStyle w:val="37"/>
        <w:rPr>
          <w:rFonts w:ascii="Times New Roman" w:cs="Times New Roman"/>
          <w:sz w:val="44"/>
          <w:szCs w:val="44"/>
        </w:rPr>
      </w:pPr>
    </w:p>
    <w:p>
      <w:pPr>
        <w:spacing w:line="680" w:lineRule="exact"/>
        <w:jc w:val="center"/>
        <w:rPr>
          <w:rFonts w:hint="eastAsia" w:eastAsia="宋体"/>
          <w:sz w:val="44"/>
          <w:szCs w:val="44"/>
          <w:lang w:eastAsia="zh-CN"/>
        </w:rPr>
      </w:pPr>
      <w:r>
        <w:rPr>
          <w:rFonts w:hint="eastAsia"/>
          <w:sz w:val="44"/>
          <w:szCs w:val="44"/>
          <w:lang w:eastAsia="zh-CN"/>
        </w:rPr>
        <w:t>20地块场地修复工程二次污染监测及清挖效果检测项目</w:t>
      </w:r>
    </w:p>
    <w:p>
      <w:pPr>
        <w:spacing w:line="680" w:lineRule="exact"/>
        <w:jc w:val="center"/>
        <w:rPr>
          <w:sz w:val="44"/>
          <w:szCs w:val="44"/>
        </w:rPr>
      </w:pPr>
    </w:p>
    <w:p>
      <w:pPr>
        <w:spacing w:line="680" w:lineRule="exact"/>
        <w:jc w:val="center"/>
        <w:rPr>
          <w:sz w:val="44"/>
          <w:szCs w:val="44"/>
        </w:rPr>
      </w:pPr>
    </w:p>
    <w:p>
      <w:pPr>
        <w:spacing w:line="680" w:lineRule="exact"/>
        <w:jc w:val="center"/>
        <w:rPr>
          <w:sz w:val="44"/>
          <w:szCs w:val="44"/>
        </w:rPr>
      </w:pPr>
      <w:r>
        <w:rPr>
          <w:sz w:val="44"/>
          <w:szCs w:val="44"/>
        </w:rPr>
        <w:t>询价采购文件</w:t>
      </w:r>
    </w:p>
    <w:p>
      <w:pPr>
        <w:spacing w:line="680" w:lineRule="exact"/>
        <w:jc w:val="center"/>
        <w:rPr>
          <w:sz w:val="44"/>
          <w:szCs w:val="44"/>
        </w:rPr>
      </w:pPr>
    </w:p>
    <w:p>
      <w:pPr>
        <w:spacing w:line="680" w:lineRule="exact"/>
        <w:jc w:val="center"/>
        <w:rPr>
          <w:sz w:val="32"/>
          <w:szCs w:val="32"/>
        </w:rPr>
      </w:pPr>
      <w:r>
        <w:rPr>
          <w:sz w:val="32"/>
          <w:szCs w:val="32"/>
        </w:rPr>
        <w:t>项目编号：恒卓采询（2023）00</w:t>
      </w:r>
      <w:r>
        <w:rPr>
          <w:rFonts w:hint="eastAsia"/>
          <w:sz w:val="32"/>
          <w:szCs w:val="32"/>
          <w:lang w:val="en-US" w:eastAsia="zh-CN"/>
        </w:rPr>
        <w:t>7</w:t>
      </w:r>
      <w:r>
        <w:rPr>
          <w:sz w:val="32"/>
          <w:szCs w:val="32"/>
        </w:rPr>
        <w:t xml:space="preserve">号 </w:t>
      </w:r>
    </w:p>
    <w:p>
      <w:pPr>
        <w:spacing w:line="680" w:lineRule="exact"/>
        <w:jc w:val="center"/>
        <w:rPr>
          <w:sz w:val="44"/>
          <w:szCs w:val="44"/>
        </w:rPr>
      </w:pPr>
    </w:p>
    <w:p>
      <w:pPr>
        <w:spacing w:line="680" w:lineRule="exact"/>
        <w:jc w:val="center"/>
        <w:rPr>
          <w:sz w:val="44"/>
          <w:szCs w:val="44"/>
        </w:rPr>
      </w:pPr>
    </w:p>
    <w:p>
      <w:pPr>
        <w:spacing w:line="680" w:lineRule="exact"/>
        <w:rPr>
          <w:sz w:val="44"/>
          <w:szCs w:val="44"/>
        </w:rPr>
      </w:pPr>
    </w:p>
    <w:p>
      <w:pPr>
        <w:spacing w:line="480" w:lineRule="exact"/>
        <w:ind w:firstLine="750" w:firstLineChars="250"/>
        <w:rPr>
          <w:sz w:val="30"/>
          <w:szCs w:val="30"/>
        </w:rPr>
      </w:pPr>
    </w:p>
    <w:p>
      <w:pPr>
        <w:spacing w:line="480" w:lineRule="exact"/>
        <w:rPr>
          <w:sz w:val="36"/>
          <w:szCs w:val="36"/>
        </w:rPr>
      </w:pPr>
      <w:r>
        <w:rPr>
          <w:spacing w:val="10"/>
          <w:sz w:val="36"/>
          <w:szCs w:val="36"/>
        </w:rPr>
        <w:t>采</w:t>
      </w:r>
      <w:r>
        <w:rPr>
          <w:sz w:val="36"/>
          <w:szCs w:val="36"/>
        </w:rPr>
        <w:t xml:space="preserve">购单位：常州环保服务有限公司 </w:t>
      </w:r>
    </w:p>
    <w:p>
      <w:pPr>
        <w:spacing w:line="480" w:lineRule="exact"/>
        <w:rPr>
          <w:sz w:val="36"/>
          <w:szCs w:val="36"/>
        </w:rPr>
      </w:pPr>
    </w:p>
    <w:p>
      <w:pPr>
        <w:spacing w:line="480" w:lineRule="exact"/>
        <w:rPr>
          <w:sz w:val="36"/>
          <w:szCs w:val="36"/>
        </w:rPr>
      </w:pPr>
      <w:r>
        <w:rPr>
          <w:sz w:val="36"/>
          <w:szCs w:val="36"/>
        </w:rPr>
        <w:t>采购代理机构：常州市恒卓建设工程管理咨询有限公司</w:t>
      </w:r>
    </w:p>
    <w:p>
      <w:pPr>
        <w:jc w:val="center"/>
        <w:rPr>
          <w:sz w:val="36"/>
          <w:szCs w:val="36"/>
        </w:rPr>
      </w:pPr>
    </w:p>
    <w:p>
      <w:pPr>
        <w:jc w:val="center"/>
        <w:rPr>
          <w:sz w:val="44"/>
          <w:szCs w:val="44"/>
        </w:rPr>
      </w:pPr>
    </w:p>
    <w:p>
      <w:pPr>
        <w:jc w:val="center"/>
        <w:rPr>
          <w:w w:val="90"/>
          <w:sz w:val="36"/>
          <w:szCs w:val="36"/>
        </w:rPr>
      </w:pPr>
      <w:r>
        <w:rPr>
          <w:w w:val="90"/>
          <w:sz w:val="36"/>
          <w:szCs w:val="36"/>
        </w:rPr>
        <w:t>二〇二三年十</w:t>
      </w:r>
      <w:r>
        <w:rPr>
          <w:rFonts w:hint="eastAsia"/>
          <w:w w:val="90"/>
          <w:sz w:val="36"/>
          <w:szCs w:val="36"/>
          <w:lang w:val="en-US" w:eastAsia="zh-CN"/>
        </w:rPr>
        <w:t>一</w:t>
      </w:r>
      <w:r>
        <w:rPr>
          <w:w w:val="90"/>
          <w:sz w:val="36"/>
          <w:szCs w:val="36"/>
        </w:rPr>
        <w:t>月</w:t>
      </w:r>
    </w:p>
    <w:p>
      <w:pPr>
        <w:jc w:val="center"/>
        <w:rPr>
          <w:b/>
          <w:bCs/>
          <w:sz w:val="24"/>
        </w:rPr>
      </w:pPr>
    </w:p>
    <w:p>
      <w:pPr>
        <w:spacing w:line="360" w:lineRule="auto"/>
        <w:jc w:val="center"/>
        <w:rPr>
          <w:sz w:val="32"/>
          <w:szCs w:val="32"/>
        </w:rPr>
      </w:pPr>
      <w:r>
        <w:rPr>
          <w:rFonts w:hint="eastAsia"/>
          <w:b/>
          <w:bCs/>
          <w:sz w:val="32"/>
          <w:szCs w:val="32"/>
          <w:lang w:eastAsia="zh-CN"/>
        </w:rPr>
        <w:t>20地块场地修复工程二次污染监测及清挖效果检测项目</w:t>
      </w:r>
      <w:r>
        <w:rPr>
          <w:b/>
          <w:bCs/>
          <w:sz w:val="32"/>
          <w:szCs w:val="32"/>
        </w:rPr>
        <w:t>询价公告</w:t>
      </w:r>
    </w:p>
    <w:p>
      <w:pPr>
        <w:spacing w:line="440" w:lineRule="exact"/>
        <w:ind w:firstLine="420" w:firstLineChars="200"/>
      </w:pPr>
      <w:r>
        <w:t>受常州环保服务有限公司的委托，对其</w:t>
      </w:r>
      <w:r>
        <w:rPr>
          <w:rFonts w:hint="eastAsia"/>
          <w:lang w:eastAsia="zh-CN"/>
        </w:rPr>
        <w:t>20地块场地修复工程二次污染监测及清挖效果检测项目</w:t>
      </w:r>
      <w:r>
        <w:t>进行询价采购。特邀请符合条件的供应商参加。</w:t>
      </w:r>
    </w:p>
    <w:p>
      <w:pPr>
        <w:widowControl/>
        <w:snapToGrid w:val="0"/>
        <w:spacing w:line="440" w:lineRule="exact"/>
        <w:ind w:firstLine="420" w:firstLineChars="200"/>
        <w:jc w:val="left"/>
        <w:rPr>
          <w:kern w:val="0"/>
          <w:szCs w:val="21"/>
        </w:rPr>
      </w:pPr>
      <w:r>
        <w:rPr>
          <w:kern w:val="0"/>
          <w:szCs w:val="21"/>
        </w:rPr>
        <w:t>一、采购项目内容及技术要求</w:t>
      </w:r>
    </w:p>
    <w:p>
      <w:pPr>
        <w:spacing w:line="440" w:lineRule="exact"/>
        <w:ind w:firstLine="420" w:firstLineChars="200"/>
      </w:pPr>
      <w:r>
        <w:t>1、项目编号：恒卓采询（2023）00</w:t>
      </w:r>
      <w:r>
        <w:rPr>
          <w:rFonts w:hint="eastAsia"/>
          <w:lang w:val="en-US" w:eastAsia="zh-CN"/>
        </w:rPr>
        <w:t>7</w:t>
      </w:r>
      <w:r>
        <w:t>号</w:t>
      </w:r>
    </w:p>
    <w:p>
      <w:pPr>
        <w:spacing w:line="440" w:lineRule="exact"/>
        <w:ind w:firstLine="420" w:firstLineChars="200"/>
        <w:rPr>
          <w:rFonts w:hint="eastAsia" w:ascii="Times New Roman" w:hAnsi="Times New Roman" w:eastAsia="宋体" w:cs="Times New Roman"/>
          <w:lang w:eastAsia="zh-CN"/>
        </w:rPr>
      </w:pPr>
      <w:r>
        <w:rPr>
          <w:rFonts w:ascii="Times New Roman" w:hAnsi="Times New Roman" w:eastAsia="宋体" w:cs="Times New Roman"/>
        </w:rPr>
        <w:t>2、项目名称：</w:t>
      </w:r>
      <w:r>
        <w:rPr>
          <w:rFonts w:hint="eastAsia" w:ascii="Times New Roman" w:hAnsi="Times New Roman" w:eastAsia="宋体" w:cs="Times New Roman"/>
          <w:lang w:eastAsia="zh-CN"/>
        </w:rPr>
        <w:t>20地块场地修复工程二次污染监测及清挖效果检测项目</w:t>
      </w:r>
    </w:p>
    <w:p>
      <w:pPr>
        <w:spacing w:line="440" w:lineRule="exact"/>
        <w:ind w:firstLine="420" w:firstLineChars="200"/>
        <w:rPr>
          <w:rFonts w:hint="eastAsia" w:ascii="Times New Roman" w:hAnsi="Times New Roman" w:eastAsia="宋体" w:cs="Times New Roman"/>
          <w:lang w:eastAsia="zh-CN"/>
        </w:rPr>
      </w:pPr>
      <w:r>
        <w:rPr>
          <w:rFonts w:ascii="Times New Roman" w:hAnsi="Times New Roman" w:eastAsia="宋体" w:cs="Times New Roman"/>
        </w:rPr>
        <w:t>3、采购预算：</w:t>
      </w:r>
      <w:r>
        <w:rPr>
          <w:rFonts w:hint="eastAsia" w:ascii="Times New Roman" w:hAnsi="Times New Roman" w:eastAsia="宋体" w:cs="Times New Roman"/>
          <w:lang w:eastAsia="zh-CN"/>
        </w:rPr>
        <w:t>270261元</w:t>
      </w:r>
    </w:p>
    <w:p>
      <w:pPr>
        <w:spacing w:line="440" w:lineRule="exact"/>
        <w:ind w:firstLine="420" w:firstLineChars="200"/>
        <w:rPr>
          <w:rFonts w:ascii="Times New Roman" w:hAnsi="Times New Roman" w:eastAsia="宋体" w:cs="Times New Roman"/>
        </w:rPr>
      </w:pPr>
      <w:r>
        <w:rPr>
          <w:rFonts w:ascii="Times New Roman" w:hAnsi="Times New Roman" w:eastAsia="宋体" w:cs="Times New Roman"/>
        </w:rPr>
        <w:t>4、项目内容：本项目为</w:t>
      </w:r>
      <w:r>
        <w:rPr>
          <w:rFonts w:hint="eastAsia" w:ascii="Times New Roman" w:hAnsi="Times New Roman" w:eastAsia="宋体" w:cs="Times New Roman"/>
          <w:lang w:eastAsia="zh-CN"/>
        </w:rPr>
        <w:t>20地块场地修复工程二次污染监测及清挖效果检测项目</w:t>
      </w:r>
      <w:r>
        <w:rPr>
          <w:rFonts w:hint="eastAsia" w:ascii="Times New Roman" w:hAnsi="Times New Roman" w:eastAsia="宋体" w:cs="Times New Roman"/>
        </w:rPr>
        <w:t>，包括但不限于《污染地块风险管控与土壤修复效果评估技术导则》(HJ 25.5-2018)、《地表水环境质量监测技术规范》（HJ91.2-2022）、《环境空气采样器技术要求及检测方法》（HJ/T375-2007）等相关规定。</w:t>
      </w:r>
    </w:p>
    <w:p>
      <w:pPr>
        <w:spacing w:line="440" w:lineRule="exact"/>
        <w:ind w:firstLine="420" w:firstLineChars="200"/>
        <w:rPr>
          <w:rFonts w:hint="eastAsia" w:ascii="Times New Roman" w:hAnsi="Times New Roman" w:eastAsia="宋体" w:cs="Times New Roman"/>
          <w:lang w:eastAsia="zh-CN"/>
        </w:rPr>
      </w:pPr>
      <w:r>
        <w:rPr>
          <w:rFonts w:ascii="Times New Roman" w:hAnsi="Times New Roman" w:eastAsia="宋体" w:cs="Times New Roman"/>
        </w:rPr>
        <w:t>5、服务期限：</w:t>
      </w:r>
      <w:r>
        <w:rPr>
          <w:rFonts w:hint="eastAsia" w:ascii="Times New Roman" w:hAnsi="Times New Roman" w:eastAsia="宋体" w:cs="Times New Roman"/>
          <w:lang w:eastAsia="zh-CN"/>
        </w:rPr>
        <w:t>合同签订之日起至</w:t>
      </w:r>
      <w:r>
        <w:rPr>
          <w:rFonts w:hint="eastAsia" w:cs="Times New Roman"/>
          <w:lang w:val="en-US" w:eastAsia="zh-CN"/>
        </w:rPr>
        <w:t>合同内容履行结束</w:t>
      </w:r>
      <w:r>
        <w:rPr>
          <w:rFonts w:hint="eastAsia" w:ascii="Times New Roman" w:hAnsi="Times New Roman" w:eastAsia="宋体" w:cs="Times New Roman"/>
          <w:lang w:eastAsia="zh-CN"/>
        </w:rPr>
        <w:t>。</w:t>
      </w:r>
    </w:p>
    <w:p>
      <w:pPr>
        <w:numPr>
          <w:ilvl w:val="0"/>
          <w:numId w:val="1"/>
        </w:numPr>
        <w:spacing w:line="440" w:lineRule="exact"/>
        <w:ind w:firstLine="420" w:firstLineChars="200"/>
        <w:jc w:val="left"/>
        <w:rPr>
          <w:szCs w:val="21"/>
        </w:rPr>
      </w:pPr>
      <w:r>
        <w:rPr>
          <w:szCs w:val="21"/>
        </w:rPr>
        <w:t>对供应商的基本要求：</w:t>
      </w:r>
    </w:p>
    <w:p>
      <w:pPr>
        <w:spacing w:line="440" w:lineRule="exact"/>
        <w:ind w:firstLine="420" w:firstLineChars="200"/>
        <w:jc w:val="left"/>
        <w:rPr>
          <w:szCs w:val="21"/>
        </w:rPr>
      </w:pPr>
      <w:r>
        <w:rPr>
          <w:szCs w:val="21"/>
        </w:rPr>
        <w:t>1、具备《中华人民共和国政府采购法》第二十二条规定条件的法人；</w:t>
      </w:r>
    </w:p>
    <w:p>
      <w:pPr>
        <w:spacing w:line="440" w:lineRule="exact"/>
        <w:ind w:firstLine="420" w:firstLineChars="200"/>
      </w:pPr>
      <w:r>
        <w:rPr>
          <w:szCs w:val="21"/>
        </w:rPr>
        <w:t>2、单位负责人为同一人或者存在直接控股、管理关系的不同供应商，不得参加同一合同项下</w:t>
      </w:r>
      <w:r>
        <w:t>的政府采购活动；</w:t>
      </w:r>
    </w:p>
    <w:p>
      <w:pPr>
        <w:spacing w:line="440" w:lineRule="exact"/>
        <w:ind w:firstLine="420" w:firstLineChars="200"/>
        <w:jc w:val="left"/>
        <w:rPr>
          <w:rFonts w:hint="eastAsia" w:eastAsia="宋体"/>
          <w:szCs w:val="21"/>
          <w:lang w:eastAsia="zh-CN"/>
        </w:rPr>
      </w:pPr>
      <w:r>
        <w:rPr>
          <w:szCs w:val="21"/>
        </w:rPr>
        <w:t>3、具有营业执照副本</w:t>
      </w:r>
      <w:r>
        <w:rPr>
          <w:rFonts w:hint="eastAsia"/>
          <w:szCs w:val="21"/>
          <w:lang w:eastAsia="zh-CN"/>
        </w:rPr>
        <w:t>；</w:t>
      </w:r>
    </w:p>
    <w:p>
      <w:pPr>
        <w:spacing w:line="440" w:lineRule="exact"/>
        <w:ind w:firstLine="420" w:firstLineChars="200"/>
        <w:jc w:val="left"/>
        <w:rPr>
          <w:szCs w:val="21"/>
        </w:rPr>
      </w:pPr>
      <w:r>
        <w:rPr>
          <w:szCs w:val="21"/>
        </w:rPr>
        <w:t>4、采购人根据采购项目的特殊要求规定的特定条件：</w:t>
      </w:r>
    </w:p>
    <w:p>
      <w:pPr>
        <w:spacing w:line="440" w:lineRule="exact"/>
        <w:ind w:firstLine="420" w:firstLineChars="200"/>
        <w:jc w:val="left"/>
        <w:rPr>
          <w:szCs w:val="21"/>
        </w:rPr>
      </w:pPr>
      <w:r>
        <w:rPr>
          <w:szCs w:val="21"/>
        </w:rPr>
        <w:t>（1）</w:t>
      </w:r>
      <w:r>
        <w:rPr>
          <w:rFonts w:hint="eastAsia"/>
          <w:lang w:eastAsia="zh-CN"/>
        </w:rPr>
        <w:t>投标人必须具有省级及以上技术监督部门颁发的CMA计量认证合格证书</w:t>
      </w:r>
      <w:r>
        <w:rPr>
          <w:szCs w:val="21"/>
        </w:rPr>
        <w:t>；</w:t>
      </w:r>
    </w:p>
    <w:p>
      <w:pPr>
        <w:spacing w:line="440" w:lineRule="exact"/>
        <w:ind w:firstLine="420" w:firstLineChars="200"/>
        <w:jc w:val="left"/>
        <w:rPr>
          <w:szCs w:val="21"/>
        </w:rPr>
      </w:pPr>
      <w:r>
        <w:rPr>
          <w:szCs w:val="21"/>
        </w:rPr>
        <w:t>（</w:t>
      </w:r>
      <w:r>
        <w:rPr>
          <w:rFonts w:hint="eastAsia"/>
          <w:szCs w:val="21"/>
          <w:lang w:val="en-US" w:eastAsia="zh-CN"/>
        </w:rPr>
        <w:t>2</w:t>
      </w:r>
      <w:r>
        <w:rPr>
          <w:szCs w:val="21"/>
        </w:rPr>
        <w:t>）未被“信用中国”网站（www.creditchina.gov.cn）列入失信被执行人、重大税收违法案件当事人名单、严重失信行为记录名单。</w:t>
      </w:r>
    </w:p>
    <w:p>
      <w:pPr>
        <w:spacing w:line="440" w:lineRule="exact"/>
        <w:ind w:firstLine="422" w:firstLineChars="200"/>
        <w:jc w:val="left"/>
        <w:rPr>
          <w:b/>
          <w:bCs/>
          <w:szCs w:val="21"/>
        </w:rPr>
      </w:pPr>
      <w:r>
        <w:rPr>
          <w:b/>
          <w:bCs/>
          <w:szCs w:val="21"/>
        </w:rPr>
        <w:t>5、本项目不接受联合体投标。</w:t>
      </w:r>
    </w:p>
    <w:p>
      <w:pPr>
        <w:spacing w:line="440" w:lineRule="exact"/>
        <w:ind w:firstLine="420" w:firstLineChars="200"/>
        <w:jc w:val="left"/>
        <w:rPr>
          <w:szCs w:val="21"/>
        </w:rPr>
      </w:pPr>
      <w:r>
        <w:rPr>
          <w:szCs w:val="21"/>
        </w:rPr>
        <w:t>三、获取询价文件的时间和办法</w:t>
      </w:r>
    </w:p>
    <w:p>
      <w:pPr>
        <w:spacing w:line="440" w:lineRule="exact"/>
        <w:ind w:firstLine="420" w:firstLineChars="200"/>
        <w:rPr>
          <w:rFonts w:hint="eastAsia" w:eastAsia="宋体"/>
          <w:b/>
          <w:bCs/>
          <w:szCs w:val="21"/>
          <w:lang w:val="en-US" w:eastAsia="zh-CN"/>
        </w:rPr>
      </w:pPr>
      <w:r>
        <w:rPr>
          <w:szCs w:val="21"/>
        </w:rPr>
        <w:t>1、询价文件获取时间：</w:t>
      </w:r>
      <w:r>
        <w:rPr>
          <w:b/>
          <w:bCs/>
          <w:szCs w:val="21"/>
        </w:rPr>
        <w:t>2023年</w:t>
      </w:r>
      <w:r>
        <w:rPr>
          <w:rFonts w:hint="eastAsia"/>
          <w:b/>
          <w:bCs/>
          <w:szCs w:val="21"/>
          <w:lang w:val="en-US" w:eastAsia="zh-CN"/>
        </w:rPr>
        <w:t>11</w:t>
      </w:r>
      <w:r>
        <w:rPr>
          <w:b/>
          <w:bCs/>
          <w:szCs w:val="21"/>
        </w:rPr>
        <w:t>月</w:t>
      </w:r>
      <w:r>
        <w:rPr>
          <w:rFonts w:hint="eastAsia"/>
          <w:b/>
          <w:bCs/>
          <w:szCs w:val="21"/>
          <w:lang w:val="en-US" w:eastAsia="zh-CN"/>
        </w:rPr>
        <w:t>03</w:t>
      </w:r>
      <w:r>
        <w:rPr>
          <w:b/>
          <w:bCs/>
          <w:szCs w:val="21"/>
        </w:rPr>
        <w:t>日</w:t>
      </w:r>
      <w:r>
        <w:rPr>
          <w:rFonts w:hint="eastAsia"/>
          <w:b/>
          <w:bCs/>
          <w:szCs w:val="21"/>
          <w:lang w:val="en-US" w:eastAsia="zh-CN"/>
        </w:rPr>
        <w:t>起</w:t>
      </w:r>
    </w:p>
    <w:p>
      <w:pPr>
        <w:spacing w:line="440" w:lineRule="exact"/>
        <w:ind w:firstLine="422" w:firstLineChars="200"/>
        <w:jc w:val="left"/>
        <w:rPr>
          <w:rFonts w:hint="eastAsia"/>
          <w:b/>
          <w:bCs/>
          <w:szCs w:val="21"/>
          <w:lang w:val="en-US" w:eastAsia="zh-CN"/>
        </w:rPr>
      </w:pPr>
      <w:r>
        <w:rPr>
          <w:b/>
          <w:bCs/>
          <w:szCs w:val="21"/>
        </w:rPr>
        <w:t>2、询价文件售价：人民币伍佰圆整</w:t>
      </w:r>
      <w:r>
        <w:rPr>
          <w:rFonts w:hint="eastAsia"/>
          <w:b/>
          <w:bCs/>
          <w:szCs w:val="21"/>
          <w:lang w:eastAsia="zh-CN"/>
        </w:rPr>
        <w:t>（</w:t>
      </w:r>
      <w:r>
        <w:rPr>
          <w:rFonts w:hint="eastAsia"/>
          <w:b/>
          <w:bCs/>
          <w:szCs w:val="21"/>
          <w:lang w:val="en-US" w:eastAsia="zh-CN"/>
        </w:rPr>
        <w:t>开标现场缴纳，询价文件自行下载）</w:t>
      </w:r>
    </w:p>
    <w:p>
      <w:pPr>
        <w:spacing w:line="440" w:lineRule="exact"/>
        <w:ind w:firstLine="420" w:firstLineChars="200"/>
        <w:rPr>
          <w:szCs w:val="21"/>
          <w:highlight w:val="none"/>
        </w:rPr>
      </w:pPr>
      <w:r>
        <w:rPr>
          <w:szCs w:val="21"/>
          <w:highlight w:val="none"/>
        </w:rPr>
        <w:t>四、现场踏勘：自行踏勘    联系人及电话：</w:t>
      </w:r>
      <w:r>
        <w:rPr>
          <w:rFonts w:hint="eastAsia"/>
          <w:szCs w:val="21"/>
          <w:highlight w:val="none"/>
          <w:lang w:val="en-US" w:eastAsia="zh-CN"/>
        </w:rPr>
        <w:t>王工；13626248328</w:t>
      </w:r>
      <w:r>
        <w:rPr>
          <w:szCs w:val="21"/>
          <w:highlight w:val="none"/>
        </w:rPr>
        <w:t xml:space="preserve">   </w:t>
      </w:r>
    </w:p>
    <w:p>
      <w:pPr>
        <w:spacing w:line="440" w:lineRule="exact"/>
        <w:ind w:firstLine="420" w:firstLineChars="200"/>
        <w:rPr>
          <w:szCs w:val="21"/>
          <w:highlight w:val="none"/>
        </w:rPr>
      </w:pPr>
      <w:r>
        <w:rPr>
          <w:szCs w:val="21"/>
          <w:highlight w:val="none"/>
        </w:rPr>
        <w:t>五、投标保证金</w:t>
      </w:r>
    </w:p>
    <w:p>
      <w:pPr>
        <w:spacing w:line="440" w:lineRule="exact"/>
        <w:ind w:firstLine="420" w:firstLineChars="200"/>
        <w:rPr>
          <w:b/>
          <w:bCs/>
          <w:highlight w:val="none"/>
        </w:rPr>
      </w:pPr>
      <w:r>
        <w:rPr>
          <w:highlight w:val="none"/>
        </w:rPr>
        <w:t>投标保证金数额：</w:t>
      </w:r>
      <w:r>
        <w:rPr>
          <w:b/>
          <w:bCs/>
          <w:highlight w:val="none"/>
        </w:rPr>
        <w:t>人民币</w:t>
      </w:r>
      <w:r>
        <w:rPr>
          <w:rFonts w:hint="eastAsia"/>
          <w:b/>
          <w:bCs/>
          <w:highlight w:val="none"/>
          <w:lang w:val="en-US" w:eastAsia="zh-CN"/>
        </w:rPr>
        <w:t>伍仟肆佰</w:t>
      </w:r>
      <w:r>
        <w:rPr>
          <w:b/>
          <w:bCs/>
          <w:highlight w:val="none"/>
        </w:rPr>
        <w:t>圆整</w:t>
      </w:r>
    </w:p>
    <w:p>
      <w:pPr>
        <w:spacing w:line="440" w:lineRule="exact"/>
        <w:ind w:firstLine="420" w:firstLineChars="200"/>
        <w:rPr>
          <w:highlight w:val="none"/>
        </w:rPr>
      </w:pPr>
      <w:r>
        <w:rPr>
          <w:highlight w:val="none"/>
        </w:rPr>
        <w:t>收款单位：常州市恒卓建设工程管理咨询有限公司</w:t>
      </w:r>
    </w:p>
    <w:p>
      <w:pPr>
        <w:spacing w:line="440" w:lineRule="exact"/>
        <w:ind w:firstLine="420" w:firstLineChars="200"/>
        <w:rPr>
          <w:highlight w:val="none"/>
        </w:rPr>
      </w:pPr>
      <w:r>
        <w:rPr>
          <w:highlight w:val="none"/>
        </w:rPr>
        <w:t>开户银行：江苏江南农村商业银行股份有限公司常州市青龙支行</w:t>
      </w:r>
    </w:p>
    <w:p>
      <w:pPr>
        <w:spacing w:line="440" w:lineRule="exact"/>
        <w:ind w:firstLine="420" w:firstLineChars="200"/>
        <w:rPr>
          <w:highlight w:val="none"/>
        </w:rPr>
      </w:pPr>
      <w:r>
        <w:rPr>
          <w:highlight w:val="none"/>
        </w:rPr>
        <w:t>账号：89801116012010000004083</w:t>
      </w:r>
    </w:p>
    <w:p>
      <w:pPr>
        <w:spacing w:line="440" w:lineRule="exact"/>
        <w:ind w:firstLine="422" w:firstLineChars="200"/>
        <w:rPr>
          <w:b/>
          <w:bCs/>
        </w:rPr>
      </w:pPr>
      <w:r>
        <w:rPr>
          <w:b/>
          <w:bCs/>
        </w:rPr>
        <w:t>投标保证金到账截止日期：2023年</w:t>
      </w:r>
      <w:r>
        <w:rPr>
          <w:rFonts w:hint="eastAsia"/>
          <w:b/>
          <w:bCs/>
          <w:lang w:val="en-US" w:eastAsia="zh-CN"/>
        </w:rPr>
        <w:t>11</w:t>
      </w:r>
      <w:r>
        <w:rPr>
          <w:b/>
          <w:bCs/>
        </w:rPr>
        <w:t>月</w:t>
      </w:r>
      <w:r>
        <w:rPr>
          <w:rFonts w:hint="eastAsia"/>
          <w:b/>
          <w:bCs/>
          <w:lang w:val="en-US" w:eastAsia="zh-CN"/>
        </w:rPr>
        <w:t>08</w:t>
      </w:r>
      <w:r>
        <w:rPr>
          <w:b/>
          <w:bCs/>
        </w:rPr>
        <w:t>日</w:t>
      </w:r>
      <w:r>
        <w:rPr>
          <w:rFonts w:hint="eastAsia"/>
          <w:b/>
          <w:bCs/>
          <w:lang w:val="en-US" w:eastAsia="zh-CN"/>
        </w:rPr>
        <w:t>11</w:t>
      </w:r>
      <w:r>
        <w:rPr>
          <w:b/>
          <w:bCs/>
        </w:rPr>
        <w:t>：00（以代理机构网银到账时间为准）</w:t>
      </w:r>
    </w:p>
    <w:p>
      <w:pPr>
        <w:spacing w:line="440" w:lineRule="exact"/>
        <w:ind w:firstLine="420" w:firstLineChars="200"/>
      </w:pPr>
      <w:r>
        <w:t>投标保证金交纳方式：银行电汇或转账</w:t>
      </w:r>
      <w:r>
        <w:rPr>
          <w:b/>
          <w:bCs/>
        </w:rPr>
        <w:t>（备注项目编号）</w:t>
      </w:r>
    </w:p>
    <w:p>
      <w:pPr>
        <w:spacing w:line="440" w:lineRule="exact"/>
        <w:ind w:firstLine="420" w:firstLineChars="200"/>
      </w:pPr>
      <w:r>
        <w:t>*投标单位必须自行将投标保证金从公司账户按规定方式和时间缴至上述指定账户并到账，拒绝以其它方式缴纳，禁止第三方代缴保证金，否则将被视为无效响应，其投标文件将被拒绝。</w:t>
      </w:r>
    </w:p>
    <w:p>
      <w:pPr>
        <w:spacing w:line="440" w:lineRule="exact"/>
        <w:ind w:firstLine="420" w:firstLineChars="200"/>
      </w:pPr>
      <w:r>
        <w:rPr>
          <w:szCs w:val="21"/>
        </w:rPr>
        <w:t xml:space="preserve">六、参加询价的供应商若认为询价函的资格要求和技术要求有倾向性或不公正性，可在 </w:t>
      </w:r>
      <w:r>
        <w:rPr>
          <w:b/>
          <w:szCs w:val="21"/>
        </w:rPr>
        <w:t>2023年</w:t>
      </w:r>
      <w:r>
        <w:rPr>
          <w:rFonts w:hint="eastAsia"/>
          <w:b/>
          <w:szCs w:val="21"/>
          <w:lang w:val="en-US" w:eastAsia="zh-CN"/>
        </w:rPr>
        <w:t>11</w:t>
      </w:r>
      <w:r>
        <w:rPr>
          <w:b/>
          <w:szCs w:val="21"/>
        </w:rPr>
        <w:t xml:space="preserve">月 </w:t>
      </w:r>
      <w:r>
        <w:rPr>
          <w:rFonts w:hint="eastAsia"/>
          <w:b/>
          <w:szCs w:val="21"/>
          <w:lang w:val="en-US" w:eastAsia="zh-CN"/>
        </w:rPr>
        <w:t>07</w:t>
      </w:r>
      <w:r>
        <w:rPr>
          <w:b/>
          <w:szCs w:val="21"/>
        </w:rPr>
        <w:t>日</w:t>
      </w:r>
      <w:r>
        <w:rPr>
          <w:rFonts w:hint="eastAsia"/>
          <w:b/>
          <w:szCs w:val="21"/>
          <w:lang w:val="en-US" w:eastAsia="zh-CN"/>
        </w:rPr>
        <w:t>20</w:t>
      </w:r>
      <w:r>
        <w:rPr>
          <w:b/>
          <w:szCs w:val="21"/>
        </w:rPr>
        <w:t>：30</w:t>
      </w:r>
      <w:r>
        <w:rPr>
          <w:szCs w:val="21"/>
        </w:rPr>
        <w:t>之前以书面形式或邮件形式</w:t>
      </w:r>
      <w:r>
        <w:rPr>
          <w:b/>
          <w:bCs/>
          <w:szCs w:val="21"/>
        </w:rPr>
        <w:t>（994093050@qq.com）</w:t>
      </w:r>
      <w:r>
        <w:rPr>
          <w:szCs w:val="21"/>
        </w:rPr>
        <w:t>向我公司提出。对于没有提出澄清要求又参与了该项目的供应商将被视为完全认同该询价函，询价响应文件递交截止期后不再受理针对询价函的相关质疑和投诉。</w:t>
      </w:r>
    </w:p>
    <w:p>
      <w:pPr>
        <w:spacing w:line="440" w:lineRule="exact"/>
        <w:ind w:left="420" w:leftChars="200"/>
        <w:rPr>
          <w:b/>
          <w:bCs/>
        </w:rPr>
      </w:pPr>
      <w:r>
        <w:rPr>
          <w:szCs w:val="21"/>
        </w:rPr>
        <w:t>七、开标时间：</w:t>
      </w:r>
      <w:r>
        <w:rPr>
          <w:b/>
          <w:bCs/>
        </w:rPr>
        <w:t>2023年</w:t>
      </w:r>
      <w:r>
        <w:rPr>
          <w:rFonts w:hint="eastAsia"/>
          <w:b/>
          <w:bCs/>
          <w:lang w:val="en-US" w:eastAsia="zh-CN"/>
        </w:rPr>
        <w:t>11</w:t>
      </w:r>
      <w:r>
        <w:rPr>
          <w:b/>
          <w:bCs/>
        </w:rPr>
        <w:t xml:space="preserve">月 </w:t>
      </w:r>
      <w:r>
        <w:rPr>
          <w:rFonts w:hint="eastAsia"/>
          <w:b/>
          <w:bCs/>
          <w:lang w:val="en-US" w:eastAsia="zh-CN"/>
        </w:rPr>
        <w:t>08</w:t>
      </w:r>
      <w:r>
        <w:rPr>
          <w:b/>
          <w:bCs/>
        </w:rPr>
        <w:t>日下午1</w:t>
      </w:r>
      <w:r>
        <w:rPr>
          <w:rFonts w:hint="eastAsia"/>
          <w:b/>
          <w:bCs/>
          <w:lang w:val="en-US" w:eastAsia="zh-CN"/>
        </w:rPr>
        <w:t>3</w:t>
      </w:r>
      <w:r>
        <w:rPr>
          <w:b/>
          <w:bCs/>
        </w:rPr>
        <w:t>：30</w:t>
      </w:r>
    </w:p>
    <w:p>
      <w:pPr>
        <w:spacing w:line="440" w:lineRule="exact"/>
        <w:ind w:left="420" w:leftChars="200"/>
        <w:rPr>
          <w:szCs w:val="21"/>
        </w:rPr>
      </w:pPr>
      <w:r>
        <w:rPr>
          <w:szCs w:val="21"/>
        </w:rPr>
        <w:t>八、询价地点：常州市北塘河路8号恒生科技园44-2栋3楼（一号大门往北一百米）　</w:t>
      </w:r>
    </w:p>
    <w:p>
      <w:pPr>
        <w:spacing w:line="440" w:lineRule="exact"/>
        <w:ind w:firstLine="420" w:firstLineChars="200"/>
        <w:rPr>
          <w:szCs w:val="21"/>
        </w:rPr>
      </w:pPr>
      <w:r>
        <w:rPr>
          <w:szCs w:val="21"/>
        </w:rPr>
        <w:t>九、询价文件售后一概不退。供应商递交的询价文件概不退还。</w:t>
      </w:r>
    </w:p>
    <w:p>
      <w:pPr>
        <w:spacing w:line="440" w:lineRule="exact"/>
        <w:ind w:firstLine="420" w:firstLineChars="200"/>
        <w:rPr>
          <w:szCs w:val="21"/>
        </w:rPr>
      </w:pPr>
      <w:r>
        <w:rPr>
          <w:szCs w:val="21"/>
        </w:rPr>
        <w:t>十、联系方式</w:t>
      </w:r>
    </w:p>
    <w:p>
      <w:pPr>
        <w:spacing w:line="440" w:lineRule="exact"/>
        <w:ind w:firstLine="420" w:firstLineChars="200"/>
        <w:rPr>
          <w:szCs w:val="21"/>
        </w:rPr>
      </w:pPr>
      <w:r>
        <w:rPr>
          <w:szCs w:val="21"/>
        </w:rPr>
        <w:t>联系人：曹工                            联系电话：</w:t>
      </w:r>
      <w:r>
        <w:rPr>
          <w:color w:val="000000"/>
          <w:kern w:val="0"/>
          <w:szCs w:val="21"/>
          <w:shd w:val="clear" w:color="auto" w:fill="FFFFFF"/>
          <w:lang w:bidi="ar"/>
        </w:rPr>
        <w:t>0519-83999268</w:t>
      </w:r>
    </w:p>
    <w:p>
      <w:pPr>
        <w:spacing w:line="440" w:lineRule="exact"/>
        <w:ind w:firstLine="420" w:firstLineChars="200"/>
        <w:rPr>
          <w:szCs w:val="21"/>
        </w:rPr>
      </w:pPr>
      <w:r>
        <w:rPr>
          <w:szCs w:val="21"/>
        </w:rPr>
        <w:t>联系地址：常州市恒卓建设工程管理咨询有限公司综合办</w:t>
      </w:r>
    </w:p>
    <w:p>
      <w:pPr>
        <w:spacing w:line="440" w:lineRule="exact"/>
        <w:ind w:firstLine="420" w:firstLineChars="200"/>
        <w:rPr>
          <w:szCs w:val="21"/>
        </w:rPr>
      </w:pPr>
      <w:r>
        <w:rPr>
          <w:szCs w:val="21"/>
        </w:rPr>
        <w:t>网    址：http://www.czhzzb.com         邮    箱：czhzzb@126.com</w:t>
      </w:r>
    </w:p>
    <w:p>
      <w:pPr>
        <w:spacing w:line="440" w:lineRule="exact"/>
        <w:ind w:right="360" w:firstLine="420" w:firstLineChars="200"/>
        <w:jc w:val="left"/>
        <w:rPr>
          <w:szCs w:val="21"/>
        </w:rPr>
      </w:pPr>
    </w:p>
    <w:p>
      <w:pPr>
        <w:spacing w:line="440" w:lineRule="exact"/>
        <w:ind w:right="360"/>
        <w:jc w:val="right"/>
        <w:rPr>
          <w:szCs w:val="21"/>
        </w:rPr>
      </w:pPr>
      <w:r>
        <w:rPr>
          <w:szCs w:val="21"/>
        </w:rPr>
        <w:t>常州市恒卓建设工程管理咨询有限公司</w:t>
      </w:r>
    </w:p>
    <w:p>
      <w:pPr>
        <w:spacing w:line="440" w:lineRule="exact"/>
        <w:ind w:right="360"/>
        <w:jc w:val="right"/>
        <w:rPr>
          <w:szCs w:val="21"/>
        </w:rPr>
      </w:pPr>
      <w:r>
        <w:rPr>
          <w:szCs w:val="21"/>
        </w:rPr>
        <w:t>2023年</w:t>
      </w:r>
      <w:r>
        <w:rPr>
          <w:rFonts w:hint="eastAsia"/>
          <w:szCs w:val="21"/>
          <w:lang w:val="en-US" w:eastAsia="zh-CN"/>
        </w:rPr>
        <w:t>11</w:t>
      </w:r>
      <w:r>
        <w:rPr>
          <w:szCs w:val="21"/>
        </w:rPr>
        <w:t>月</w:t>
      </w:r>
      <w:r>
        <w:rPr>
          <w:rFonts w:hint="eastAsia"/>
          <w:szCs w:val="21"/>
          <w:lang w:val="en-US" w:eastAsia="zh-CN"/>
        </w:rPr>
        <w:t>03</w:t>
      </w:r>
      <w:r>
        <w:rPr>
          <w:szCs w:val="21"/>
        </w:rPr>
        <w:t>日</w:t>
      </w:r>
    </w:p>
    <w:p>
      <w:pPr>
        <w:pStyle w:val="20"/>
        <w:keepNext w:val="0"/>
        <w:keepLines w:val="0"/>
        <w:widowControl/>
        <w:suppressLineNumbers w:val="0"/>
        <w:shd w:val="clear" w:fill="FFFFFF"/>
        <w:spacing w:before="0" w:beforeAutospacing="0" w:after="120" w:afterAutospacing="0"/>
        <w:ind w:left="0" w:right="0" w:firstLine="0"/>
        <w:rPr>
          <w:rFonts w:hint="eastAsia" w:ascii="宋体" w:hAnsi="宋体" w:eastAsia="宋体" w:cs="宋体"/>
          <w:i w:val="0"/>
          <w:iCs w:val="0"/>
          <w:caps w:val="0"/>
          <w:color w:val="000000"/>
          <w:spacing w:val="0"/>
          <w:sz w:val="21"/>
          <w:szCs w:val="21"/>
          <w:shd w:val="clear" w:fill="FFFFFF"/>
        </w:rPr>
      </w:pPr>
    </w:p>
    <w:p>
      <w:pPr>
        <w:pStyle w:val="11"/>
        <w:spacing w:line="380" w:lineRule="exact"/>
        <w:jc w:val="center"/>
        <w:rPr>
          <w:rFonts w:hint="eastAsia"/>
          <w:b/>
          <w:bCs/>
          <w:sz w:val="32"/>
          <w:szCs w:val="32"/>
          <w:highlight w:val="none"/>
        </w:rPr>
      </w:pPr>
    </w:p>
    <w:p>
      <w:pPr>
        <w:pStyle w:val="5"/>
        <w:rPr>
          <w:rFonts w:hint="eastAsia"/>
          <w:b/>
          <w:bCs/>
          <w:sz w:val="32"/>
          <w:szCs w:val="32"/>
          <w:highlight w:val="none"/>
        </w:rPr>
      </w:pPr>
    </w:p>
    <w:p>
      <w:pPr>
        <w:rPr>
          <w:rFonts w:hint="eastAsia"/>
          <w:b/>
          <w:bCs/>
          <w:sz w:val="32"/>
          <w:szCs w:val="32"/>
          <w:highlight w:val="none"/>
        </w:rPr>
      </w:pPr>
    </w:p>
    <w:p>
      <w:pPr>
        <w:pStyle w:val="8"/>
        <w:rPr>
          <w:rFonts w:hint="eastAsia"/>
          <w:b/>
          <w:bCs/>
          <w:sz w:val="32"/>
          <w:szCs w:val="32"/>
          <w:highlight w:val="none"/>
        </w:rPr>
      </w:pPr>
    </w:p>
    <w:p>
      <w:pPr>
        <w:rPr>
          <w:rFonts w:hint="eastAsia"/>
          <w:b/>
          <w:bCs/>
          <w:sz w:val="32"/>
          <w:szCs w:val="32"/>
          <w:highlight w:val="none"/>
        </w:rPr>
      </w:pPr>
    </w:p>
    <w:p>
      <w:pPr>
        <w:pStyle w:val="8"/>
        <w:rPr>
          <w:rFonts w:hint="eastAsia"/>
          <w:b/>
          <w:bCs/>
          <w:sz w:val="32"/>
          <w:szCs w:val="32"/>
          <w:highlight w:val="none"/>
        </w:rPr>
      </w:pPr>
    </w:p>
    <w:p>
      <w:pPr>
        <w:rPr>
          <w:rFonts w:hint="eastAsia"/>
          <w:b/>
          <w:bCs/>
          <w:sz w:val="32"/>
          <w:szCs w:val="32"/>
          <w:highlight w:val="none"/>
        </w:rPr>
      </w:pPr>
    </w:p>
    <w:p>
      <w:pPr>
        <w:pStyle w:val="8"/>
        <w:rPr>
          <w:rFonts w:hint="eastAsia"/>
          <w:b/>
          <w:bCs/>
          <w:sz w:val="32"/>
          <w:szCs w:val="32"/>
          <w:highlight w:val="none"/>
        </w:rPr>
      </w:pPr>
    </w:p>
    <w:p>
      <w:pPr>
        <w:rPr>
          <w:rFonts w:hint="eastAsia"/>
          <w:b/>
          <w:bCs/>
          <w:sz w:val="32"/>
          <w:szCs w:val="32"/>
          <w:highlight w:val="none"/>
        </w:rPr>
      </w:pPr>
    </w:p>
    <w:p>
      <w:pPr>
        <w:pStyle w:val="8"/>
        <w:rPr>
          <w:rFonts w:hint="eastAsia"/>
        </w:rPr>
      </w:pPr>
    </w:p>
    <w:p>
      <w:pPr>
        <w:pStyle w:val="11"/>
        <w:spacing w:line="380" w:lineRule="exact"/>
        <w:jc w:val="center"/>
        <w:rPr>
          <w:rFonts w:ascii="Times New Roman" w:hAnsi="Times New Roman" w:cs="Times New Roman"/>
          <w:b/>
          <w:bCs/>
          <w:sz w:val="32"/>
          <w:szCs w:val="32"/>
        </w:rPr>
      </w:pPr>
    </w:p>
    <w:p>
      <w:pPr>
        <w:pStyle w:val="11"/>
        <w:spacing w:line="380" w:lineRule="exact"/>
        <w:jc w:val="center"/>
        <w:rPr>
          <w:rFonts w:ascii="Times New Roman" w:hAnsi="Times New Roman" w:cs="Times New Roman"/>
          <w:b/>
          <w:bCs/>
          <w:sz w:val="32"/>
          <w:szCs w:val="32"/>
        </w:rPr>
      </w:pPr>
    </w:p>
    <w:p>
      <w:pPr>
        <w:pStyle w:val="11"/>
        <w:spacing w:line="380" w:lineRule="exact"/>
        <w:jc w:val="center"/>
        <w:rPr>
          <w:rFonts w:ascii="Times New Roman" w:hAnsi="Times New Roman" w:cs="Times New Roman"/>
        </w:rPr>
      </w:pPr>
      <w:r>
        <w:rPr>
          <w:rFonts w:ascii="Times New Roman" w:hAnsi="Times New Roman" w:cs="Times New Roman"/>
          <w:b/>
          <w:bCs/>
          <w:sz w:val="32"/>
          <w:szCs w:val="32"/>
        </w:rPr>
        <w:t>询价文件</w:t>
      </w:r>
    </w:p>
    <w:p>
      <w:pPr>
        <w:spacing w:line="420" w:lineRule="exact"/>
        <w:ind w:firstLine="420" w:firstLineChars="200"/>
        <w:rPr>
          <w:szCs w:val="21"/>
        </w:rPr>
      </w:pPr>
      <w:r>
        <w:rPr>
          <w:szCs w:val="21"/>
        </w:rPr>
        <w:t>受常州环保服务有限公司的委托，对其公司的</w:t>
      </w:r>
      <w:r>
        <w:rPr>
          <w:rFonts w:hint="eastAsia"/>
          <w:szCs w:val="21"/>
          <w:lang w:eastAsia="zh-CN"/>
        </w:rPr>
        <w:t>20地块场地修复工程二次污染监测及清挖效果检测项目</w:t>
      </w:r>
      <w:r>
        <w:rPr>
          <w:szCs w:val="21"/>
        </w:rPr>
        <w:t>进行询价采购。特邀请符合条件的供应商参加。</w:t>
      </w:r>
    </w:p>
    <w:p>
      <w:pPr>
        <w:widowControl/>
        <w:snapToGrid w:val="0"/>
        <w:spacing w:line="420" w:lineRule="exact"/>
        <w:jc w:val="left"/>
        <w:rPr>
          <w:kern w:val="0"/>
          <w:szCs w:val="21"/>
        </w:rPr>
      </w:pPr>
      <w:r>
        <w:rPr>
          <w:kern w:val="0"/>
          <w:szCs w:val="21"/>
        </w:rPr>
        <w:t>一、采购项目内容及技术要求</w:t>
      </w:r>
    </w:p>
    <w:p>
      <w:pPr>
        <w:spacing w:line="420" w:lineRule="exact"/>
        <w:ind w:firstLine="420" w:firstLineChars="200"/>
        <w:jc w:val="left"/>
        <w:rPr>
          <w:szCs w:val="21"/>
        </w:rPr>
      </w:pPr>
      <w:r>
        <w:rPr>
          <w:szCs w:val="21"/>
        </w:rPr>
        <w:t>项目编号：恒卓采询（2023）00</w:t>
      </w:r>
      <w:r>
        <w:rPr>
          <w:rFonts w:hint="eastAsia"/>
          <w:szCs w:val="21"/>
          <w:lang w:val="en-US" w:eastAsia="zh-CN"/>
        </w:rPr>
        <w:t>7</w:t>
      </w:r>
      <w:r>
        <w:rPr>
          <w:szCs w:val="21"/>
        </w:rPr>
        <w:t>号</w:t>
      </w:r>
    </w:p>
    <w:p>
      <w:pPr>
        <w:spacing w:line="420" w:lineRule="exact"/>
        <w:ind w:firstLine="420" w:firstLineChars="200"/>
        <w:jc w:val="left"/>
        <w:rPr>
          <w:rFonts w:hint="eastAsia" w:eastAsia="宋体"/>
          <w:szCs w:val="21"/>
          <w:lang w:eastAsia="zh-CN"/>
        </w:rPr>
      </w:pPr>
      <w:r>
        <w:rPr>
          <w:szCs w:val="21"/>
        </w:rPr>
        <w:t>项目名称：</w:t>
      </w:r>
      <w:r>
        <w:rPr>
          <w:rFonts w:hint="eastAsia"/>
          <w:szCs w:val="21"/>
          <w:lang w:eastAsia="zh-CN"/>
        </w:rPr>
        <w:t>20地块场地修复工程二次污染监测及清挖效果检测项目</w:t>
      </w:r>
    </w:p>
    <w:p>
      <w:pPr>
        <w:spacing w:line="420" w:lineRule="exact"/>
        <w:ind w:firstLine="420" w:firstLineChars="200"/>
        <w:jc w:val="left"/>
        <w:rPr>
          <w:rFonts w:hint="eastAsia" w:eastAsia="宋体"/>
          <w:szCs w:val="21"/>
          <w:lang w:eastAsia="zh-CN"/>
        </w:rPr>
      </w:pPr>
      <w:r>
        <w:rPr>
          <w:szCs w:val="21"/>
        </w:rPr>
        <w:t>采购预算：</w:t>
      </w:r>
      <w:r>
        <w:rPr>
          <w:rFonts w:hint="eastAsia"/>
          <w:szCs w:val="21"/>
          <w:lang w:eastAsia="zh-CN"/>
        </w:rPr>
        <w:t>270261元</w:t>
      </w:r>
    </w:p>
    <w:p>
      <w:pPr>
        <w:widowControl/>
        <w:snapToGrid w:val="0"/>
        <w:spacing w:line="420" w:lineRule="exact"/>
        <w:jc w:val="left"/>
        <w:rPr>
          <w:kern w:val="0"/>
          <w:szCs w:val="21"/>
        </w:rPr>
      </w:pPr>
      <w:r>
        <w:rPr>
          <w:kern w:val="0"/>
          <w:szCs w:val="21"/>
        </w:rPr>
        <w:t>二、资格条件</w:t>
      </w:r>
    </w:p>
    <w:p>
      <w:pPr>
        <w:spacing w:line="420" w:lineRule="exact"/>
        <w:ind w:firstLine="420" w:firstLineChars="200"/>
        <w:jc w:val="left"/>
        <w:rPr>
          <w:szCs w:val="21"/>
        </w:rPr>
      </w:pPr>
      <w:r>
        <w:rPr>
          <w:szCs w:val="21"/>
        </w:rPr>
        <w:t>1、具备《中华人民共和国政府采购法》第二十二条规定条件的法人；</w:t>
      </w:r>
    </w:p>
    <w:p>
      <w:pPr>
        <w:spacing w:line="420" w:lineRule="exact"/>
        <w:ind w:firstLine="420" w:firstLineChars="200"/>
        <w:jc w:val="left"/>
        <w:rPr>
          <w:szCs w:val="21"/>
        </w:rPr>
      </w:pPr>
      <w:r>
        <w:rPr>
          <w:szCs w:val="21"/>
        </w:rPr>
        <w:t>2、单位负责人为同一人或者存在直接控股、管理关系的不同供应商，不得参加同一合同项下的政府采购活动；</w:t>
      </w:r>
    </w:p>
    <w:p>
      <w:pPr>
        <w:spacing w:line="440" w:lineRule="exact"/>
        <w:ind w:firstLine="420" w:firstLineChars="200"/>
        <w:jc w:val="left"/>
        <w:rPr>
          <w:szCs w:val="21"/>
        </w:rPr>
      </w:pPr>
      <w:r>
        <w:rPr>
          <w:szCs w:val="21"/>
        </w:rPr>
        <w:t>3、具有营业执照副本</w:t>
      </w:r>
    </w:p>
    <w:p>
      <w:pPr>
        <w:spacing w:line="440" w:lineRule="exact"/>
        <w:ind w:firstLine="420" w:firstLineChars="200"/>
        <w:jc w:val="left"/>
        <w:rPr>
          <w:szCs w:val="21"/>
        </w:rPr>
      </w:pPr>
      <w:r>
        <w:rPr>
          <w:szCs w:val="21"/>
        </w:rPr>
        <w:t>4、采购人根据采购项目的特殊要求规定的特定条件：</w:t>
      </w:r>
    </w:p>
    <w:p>
      <w:pPr>
        <w:spacing w:line="440" w:lineRule="exact"/>
        <w:ind w:firstLine="420" w:firstLineChars="200"/>
        <w:jc w:val="left"/>
        <w:rPr>
          <w:szCs w:val="21"/>
        </w:rPr>
      </w:pPr>
      <w:r>
        <w:rPr>
          <w:szCs w:val="21"/>
        </w:rPr>
        <w:t>（1）</w:t>
      </w:r>
      <w:r>
        <w:rPr>
          <w:rFonts w:hint="eastAsia"/>
          <w:lang w:eastAsia="zh-CN"/>
        </w:rPr>
        <w:t>投标人必须具有省级及以上技术监督部门颁发的CMA计量认证合格证书</w:t>
      </w:r>
      <w:r>
        <w:rPr>
          <w:szCs w:val="21"/>
        </w:rPr>
        <w:t>；</w:t>
      </w:r>
    </w:p>
    <w:p>
      <w:pPr>
        <w:spacing w:line="440" w:lineRule="exact"/>
        <w:ind w:firstLine="420" w:firstLineChars="200"/>
        <w:jc w:val="left"/>
        <w:rPr>
          <w:szCs w:val="21"/>
        </w:rPr>
      </w:pPr>
      <w:r>
        <w:rPr>
          <w:szCs w:val="21"/>
        </w:rPr>
        <w:t>（</w:t>
      </w:r>
      <w:r>
        <w:rPr>
          <w:rFonts w:hint="eastAsia"/>
          <w:szCs w:val="21"/>
          <w:lang w:val="en-US" w:eastAsia="zh-CN"/>
        </w:rPr>
        <w:t>2</w:t>
      </w:r>
      <w:r>
        <w:rPr>
          <w:szCs w:val="21"/>
        </w:rPr>
        <w:t>）未被“信用中国”网站（www.creditchina.gov.cn）列入失信被执行人、重大税收违法案件当事人名单、政府采购严重失信行为记录名单。</w:t>
      </w:r>
    </w:p>
    <w:p>
      <w:pPr>
        <w:spacing w:line="420" w:lineRule="exact"/>
        <w:ind w:firstLine="422" w:firstLineChars="200"/>
        <w:jc w:val="left"/>
        <w:rPr>
          <w:b/>
          <w:bCs/>
          <w:szCs w:val="21"/>
        </w:rPr>
      </w:pPr>
      <w:r>
        <w:rPr>
          <w:b/>
          <w:bCs/>
          <w:szCs w:val="21"/>
        </w:rPr>
        <w:t>5、本项目不接受联合体投标</w:t>
      </w:r>
    </w:p>
    <w:p>
      <w:pPr>
        <w:spacing w:line="420" w:lineRule="exact"/>
        <w:jc w:val="left"/>
        <w:rPr>
          <w:szCs w:val="21"/>
        </w:rPr>
      </w:pPr>
      <w:r>
        <w:rPr>
          <w:szCs w:val="21"/>
        </w:rPr>
        <w:t>三、询价响应文件的组成及要求</w:t>
      </w:r>
    </w:p>
    <w:p>
      <w:pPr>
        <w:spacing w:line="420" w:lineRule="exact"/>
        <w:ind w:firstLine="420" w:firstLineChars="200"/>
        <w:jc w:val="left"/>
        <w:rPr>
          <w:szCs w:val="21"/>
        </w:rPr>
      </w:pPr>
      <w:r>
        <w:rPr>
          <w:szCs w:val="21"/>
        </w:rPr>
        <w:t>（一）文件组成：</w:t>
      </w:r>
    </w:p>
    <w:p>
      <w:pPr>
        <w:spacing w:line="420" w:lineRule="exact"/>
        <w:ind w:firstLine="420" w:firstLineChars="200"/>
        <w:jc w:val="left"/>
        <w:rPr>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szCs w:val="21"/>
          <w:highlight w:val="none"/>
        </w:rPr>
        <w:t>投标函</w:t>
      </w:r>
    </w:p>
    <w:p>
      <w:pPr>
        <w:spacing w:line="420" w:lineRule="exact"/>
        <w:ind w:firstLine="420" w:firstLineChars="200"/>
        <w:jc w:val="left"/>
        <w:rPr>
          <w:szCs w:val="21"/>
          <w:highlight w:val="none"/>
        </w:rPr>
      </w:pPr>
      <w:r>
        <w:rPr>
          <w:rFonts w:hint="eastAsia"/>
          <w:szCs w:val="21"/>
          <w:highlight w:val="none"/>
          <w:lang w:val="zh-CN"/>
        </w:rPr>
        <w:t>（</w:t>
      </w:r>
      <w:r>
        <w:rPr>
          <w:rFonts w:hint="eastAsia"/>
          <w:szCs w:val="21"/>
          <w:highlight w:val="none"/>
          <w:lang w:val="en-US" w:eastAsia="zh-CN"/>
        </w:rPr>
        <w:t>2</w:t>
      </w:r>
      <w:r>
        <w:rPr>
          <w:rFonts w:hint="eastAsia"/>
          <w:szCs w:val="21"/>
          <w:highlight w:val="none"/>
          <w:lang w:val="zh-CN"/>
        </w:rPr>
        <w:t>）</w:t>
      </w:r>
      <w:r>
        <w:rPr>
          <w:szCs w:val="21"/>
          <w:highlight w:val="none"/>
          <w:lang w:val="zh-CN"/>
        </w:rPr>
        <w:t>承诺函</w:t>
      </w:r>
    </w:p>
    <w:p>
      <w:pPr>
        <w:spacing w:line="420" w:lineRule="exact"/>
        <w:ind w:firstLine="420" w:firstLineChars="200"/>
        <w:jc w:val="left"/>
        <w:rPr>
          <w:szCs w:val="21"/>
          <w:highlight w:val="none"/>
          <w:lang w:val="zh-CN"/>
        </w:rPr>
      </w:pPr>
      <w:r>
        <w:rPr>
          <w:rFonts w:hint="eastAsia"/>
          <w:szCs w:val="21"/>
          <w:highlight w:val="none"/>
          <w:lang w:eastAsia="zh-CN"/>
        </w:rPr>
        <w:t>（</w:t>
      </w:r>
      <w:r>
        <w:rPr>
          <w:rFonts w:hint="eastAsia"/>
          <w:szCs w:val="21"/>
          <w:highlight w:val="none"/>
          <w:lang w:val="en-US" w:eastAsia="zh-CN"/>
        </w:rPr>
        <w:t>3</w:t>
      </w:r>
      <w:r>
        <w:rPr>
          <w:rFonts w:hint="eastAsia"/>
          <w:szCs w:val="21"/>
          <w:highlight w:val="none"/>
          <w:lang w:eastAsia="zh-CN"/>
        </w:rPr>
        <w:t>）</w:t>
      </w:r>
      <w:r>
        <w:rPr>
          <w:szCs w:val="21"/>
          <w:highlight w:val="none"/>
        </w:rPr>
        <w:t>法定代表人身份证明复印件；授权委托书、代理人身份证复印件（如果有授权委托情况的，必须提供）（后附法定代表人授权委托书格式）</w:t>
      </w:r>
    </w:p>
    <w:p>
      <w:pPr>
        <w:spacing w:line="420" w:lineRule="exact"/>
        <w:ind w:firstLine="420" w:firstLineChars="200"/>
        <w:jc w:val="left"/>
        <w:rPr>
          <w:szCs w:val="21"/>
          <w:highlight w:val="none"/>
        </w:rPr>
      </w:pPr>
      <w:r>
        <w:rPr>
          <w:rFonts w:hint="eastAsia"/>
          <w:szCs w:val="21"/>
          <w:highlight w:val="none"/>
          <w:lang w:eastAsia="zh-CN"/>
        </w:rPr>
        <w:t>（</w:t>
      </w:r>
      <w:r>
        <w:rPr>
          <w:rFonts w:hint="eastAsia"/>
          <w:szCs w:val="21"/>
          <w:highlight w:val="none"/>
          <w:lang w:val="en-US" w:eastAsia="zh-CN"/>
        </w:rPr>
        <w:t>4</w:t>
      </w:r>
      <w:r>
        <w:rPr>
          <w:rFonts w:hint="eastAsia"/>
          <w:szCs w:val="21"/>
          <w:highlight w:val="none"/>
          <w:lang w:eastAsia="zh-CN"/>
        </w:rPr>
        <w:t>）</w:t>
      </w:r>
      <w:r>
        <w:rPr>
          <w:szCs w:val="21"/>
          <w:highlight w:val="none"/>
        </w:rPr>
        <w:t>营业执照副本复印件；</w:t>
      </w:r>
    </w:p>
    <w:p>
      <w:pPr>
        <w:spacing w:line="420" w:lineRule="exact"/>
        <w:ind w:firstLine="420" w:firstLineChars="200"/>
        <w:jc w:val="left"/>
        <w:rPr>
          <w:szCs w:val="21"/>
        </w:rPr>
      </w:pPr>
      <w:r>
        <w:rPr>
          <w:rFonts w:hint="eastAsia"/>
          <w:szCs w:val="21"/>
          <w:highlight w:val="none"/>
          <w:lang w:eastAsia="zh-CN"/>
        </w:rPr>
        <w:t>（</w:t>
      </w:r>
      <w:r>
        <w:rPr>
          <w:rFonts w:hint="eastAsia"/>
          <w:szCs w:val="21"/>
          <w:highlight w:val="none"/>
          <w:lang w:val="en-US" w:eastAsia="zh-CN"/>
        </w:rPr>
        <w:t>5</w:t>
      </w:r>
      <w:r>
        <w:rPr>
          <w:rFonts w:hint="eastAsia"/>
          <w:szCs w:val="21"/>
          <w:highlight w:val="none"/>
          <w:lang w:eastAsia="zh-CN"/>
        </w:rPr>
        <w:t>）</w:t>
      </w:r>
      <w:r>
        <w:rPr>
          <w:szCs w:val="21"/>
          <w:highlight w:val="none"/>
        </w:rPr>
        <w:t>采购人根据采购项目的特殊要求规定的特定条件的证明文件；</w:t>
      </w:r>
    </w:p>
    <w:p>
      <w:pPr>
        <w:spacing w:line="440" w:lineRule="exact"/>
        <w:ind w:firstLine="420" w:firstLineChars="200"/>
        <w:jc w:val="left"/>
        <w:rPr>
          <w:szCs w:val="21"/>
        </w:rPr>
      </w:pPr>
      <w:r>
        <w:rPr>
          <w:rFonts w:hint="eastAsia" w:ascii="宋体" w:hAnsi="宋体" w:cs="宋体"/>
          <w:szCs w:val="21"/>
        </w:rPr>
        <w:t>①</w:t>
      </w:r>
      <w:r>
        <w:rPr>
          <w:rFonts w:hint="eastAsia"/>
          <w:lang w:eastAsia="zh-CN"/>
        </w:rPr>
        <w:t>投标人必须具有省级及以上技术监督部门颁发的CMA计量认证合格证书</w:t>
      </w:r>
      <w:r>
        <w:rPr>
          <w:szCs w:val="21"/>
        </w:rPr>
        <w:t>；</w:t>
      </w:r>
    </w:p>
    <w:p>
      <w:pPr>
        <w:spacing w:line="440" w:lineRule="exact"/>
        <w:ind w:firstLine="420" w:firstLineChars="200"/>
        <w:jc w:val="left"/>
        <w:rPr>
          <w:szCs w:val="21"/>
        </w:rPr>
      </w:pPr>
      <w:r>
        <w:rPr>
          <w:rFonts w:hint="eastAsia" w:ascii="宋体" w:hAnsi="宋体" w:cs="宋体"/>
          <w:szCs w:val="21"/>
        </w:rPr>
        <w:t>②</w:t>
      </w:r>
      <w:r>
        <w:rPr>
          <w:szCs w:val="21"/>
        </w:rPr>
        <w:t>未被“信用中国”网站（www.creditchina.gov.cn）列入失信被执行人、重大税收违法案件当事人名单、政府采购严重失信行为记录名单。</w:t>
      </w:r>
    </w:p>
    <w:p>
      <w:pPr>
        <w:spacing w:line="420" w:lineRule="exact"/>
        <w:ind w:firstLine="420" w:firstLineChars="200"/>
        <w:jc w:val="left"/>
        <w:rPr>
          <w:szCs w:val="21"/>
        </w:rPr>
      </w:pPr>
      <w:r>
        <w:rPr>
          <w:rFonts w:hint="eastAsia"/>
          <w:szCs w:val="21"/>
          <w:lang w:val="en-US" w:eastAsia="zh-CN"/>
        </w:rPr>
        <w:t>2、</w:t>
      </w:r>
      <w:r>
        <w:rPr>
          <w:szCs w:val="21"/>
        </w:rPr>
        <w:t>技术部分</w:t>
      </w:r>
    </w:p>
    <w:p>
      <w:pPr>
        <w:spacing w:line="420" w:lineRule="exact"/>
        <w:ind w:firstLine="422" w:firstLineChars="200"/>
        <w:jc w:val="left"/>
        <w:rPr>
          <w:b/>
          <w:bCs/>
          <w:szCs w:val="21"/>
        </w:rPr>
      </w:pPr>
      <w:r>
        <w:rPr>
          <w:rFonts w:hint="eastAsia"/>
          <w:b/>
          <w:bCs/>
          <w:szCs w:val="21"/>
          <w:lang w:val="zh-CN"/>
        </w:rPr>
        <w:t>（</w:t>
      </w:r>
      <w:r>
        <w:rPr>
          <w:rFonts w:hint="eastAsia"/>
          <w:b/>
          <w:bCs/>
          <w:szCs w:val="21"/>
          <w:lang w:val="en-US" w:eastAsia="zh-CN"/>
        </w:rPr>
        <w:t>1</w:t>
      </w:r>
      <w:r>
        <w:rPr>
          <w:rFonts w:hint="eastAsia"/>
          <w:b/>
          <w:bCs/>
          <w:szCs w:val="21"/>
          <w:lang w:val="zh-CN"/>
        </w:rPr>
        <w:t>）</w:t>
      </w:r>
      <w:r>
        <w:rPr>
          <w:b/>
          <w:bCs/>
          <w:szCs w:val="21"/>
          <w:lang w:val="zh-CN"/>
        </w:rPr>
        <w:t>偏离表：</w:t>
      </w:r>
    </w:p>
    <w:p>
      <w:pPr>
        <w:spacing w:line="420" w:lineRule="exact"/>
        <w:ind w:firstLine="422" w:firstLineChars="200"/>
        <w:jc w:val="left"/>
        <w:rPr>
          <w:b/>
          <w:bCs/>
          <w:szCs w:val="21"/>
          <w:highlight w:val="none"/>
        </w:rPr>
      </w:pPr>
      <w:r>
        <w:rPr>
          <w:rFonts w:hint="eastAsia"/>
          <w:b/>
          <w:bCs/>
          <w:szCs w:val="21"/>
          <w:highlight w:val="none"/>
          <w:lang w:val="zh-CN"/>
        </w:rPr>
        <w:t>（</w:t>
      </w:r>
      <w:r>
        <w:rPr>
          <w:rFonts w:hint="eastAsia"/>
          <w:b/>
          <w:bCs/>
          <w:szCs w:val="21"/>
          <w:highlight w:val="none"/>
          <w:lang w:val="en-US" w:eastAsia="zh-CN"/>
        </w:rPr>
        <w:t>2</w:t>
      </w:r>
      <w:r>
        <w:rPr>
          <w:rFonts w:hint="eastAsia"/>
          <w:b/>
          <w:bCs/>
          <w:szCs w:val="21"/>
          <w:highlight w:val="none"/>
          <w:lang w:val="zh-CN"/>
        </w:rPr>
        <w:t>）</w:t>
      </w:r>
      <w:r>
        <w:rPr>
          <w:b/>
          <w:bCs/>
          <w:szCs w:val="21"/>
          <w:highlight w:val="none"/>
          <w:lang w:val="zh-CN"/>
        </w:rPr>
        <w:t>服务承诺书；</w:t>
      </w:r>
    </w:p>
    <w:p>
      <w:pPr>
        <w:spacing w:line="420" w:lineRule="exact"/>
        <w:ind w:firstLine="422" w:firstLineChars="200"/>
        <w:jc w:val="left"/>
        <w:rPr>
          <w:rFonts w:hint="default" w:eastAsia="宋体"/>
          <w:b/>
          <w:bCs/>
          <w:szCs w:val="21"/>
          <w:highlight w:val="none"/>
          <w:lang w:val="en-US" w:eastAsia="zh-CN"/>
        </w:rPr>
      </w:pPr>
      <w:r>
        <w:rPr>
          <w:rFonts w:hint="eastAsia"/>
          <w:b/>
          <w:bCs/>
          <w:szCs w:val="21"/>
          <w:highlight w:val="none"/>
          <w:lang w:val="zh-CN"/>
        </w:rPr>
        <w:t>（</w:t>
      </w:r>
      <w:r>
        <w:rPr>
          <w:rFonts w:hint="eastAsia"/>
          <w:b/>
          <w:bCs/>
          <w:szCs w:val="21"/>
          <w:highlight w:val="none"/>
          <w:lang w:val="en-US" w:eastAsia="zh-CN"/>
        </w:rPr>
        <w:t>3</w:t>
      </w:r>
      <w:r>
        <w:rPr>
          <w:rFonts w:hint="eastAsia"/>
          <w:b/>
          <w:bCs/>
          <w:szCs w:val="21"/>
          <w:highlight w:val="none"/>
          <w:lang w:val="zh-CN"/>
        </w:rPr>
        <w:t>）</w:t>
      </w:r>
      <w:r>
        <w:rPr>
          <w:b/>
          <w:bCs/>
          <w:szCs w:val="21"/>
          <w:highlight w:val="none"/>
        </w:rPr>
        <w:t>拟派项目组成员一览表；</w:t>
      </w:r>
    </w:p>
    <w:p>
      <w:pPr>
        <w:spacing w:line="420" w:lineRule="exact"/>
        <w:ind w:firstLine="420" w:firstLineChars="200"/>
        <w:jc w:val="left"/>
        <w:rPr>
          <w:szCs w:val="21"/>
          <w:highlight w:val="none"/>
          <w:lang w:val="zh-CN"/>
        </w:rPr>
      </w:pPr>
      <w:r>
        <w:rPr>
          <w:rFonts w:hint="eastAsia"/>
          <w:szCs w:val="21"/>
          <w:highlight w:val="none"/>
          <w:lang w:val="zh-CN"/>
        </w:rPr>
        <w:t>（</w:t>
      </w:r>
      <w:r>
        <w:rPr>
          <w:rFonts w:hint="eastAsia"/>
          <w:szCs w:val="21"/>
          <w:highlight w:val="none"/>
          <w:lang w:val="en-US" w:eastAsia="zh-CN"/>
        </w:rPr>
        <w:t>4</w:t>
      </w:r>
      <w:r>
        <w:rPr>
          <w:rFonts w:hint="eastAsia"/>
          <w:szCs w:val="21"/>
          <w:highlight w:val="none"/>
          <w:lang w:val="zh-CN"/>
        </w:rPr>
        <w:t>）</w:t>
      </w:r>
      <w:r>
        <w:rPr>
          <w:szCs w:val="21"/>
          <w:highlight w:val="none"/>
          <w:lang w:val="zh-CN"/>
        </w:rPr>
        <w:t>供应商认为需要提供的其他技术文件或资料等。</w:t>
      </w:r>
    </w:p>
    <w:p>
      <w:pPr>
        <w:spacing w:line="420" w:lineRule="exact"/>
        <w:ind w:firstLine="420" w:firstLineChars="200"/>
        <w:jc w:val="left"/>
        <w:rPr>
          <w:szCs w:val="21"/>
          <w:highlight w:val="none"/>
        </w:rPr>
      </w:pPr>
      <w:r>
        <w:rPr>
          <w:rFonts w:hint="eastAsia"/>
          <w:szCs w:val="21"/>
          <w:highlight w:val="none"/>
          <w:lang w:val="en-US" w:eastAsia="zh-CN"/>
        </w:rPr>
        <w:t>3、</w:t>
      </w:r>
      <w:r>
        <w:rPr>
          <w:szCs w:val="21"/>
          <w:highlight w:val="none"/>
        </w:rPr>
        <w:t>报价部分</w:t>
      </w:r>
    </w:p>
    <w:p>
      <w:pPr>
        <w:spacing w:line="420" w:lineRule="exact"/>
        <w:ind w:firstLine="420" w:firstLineChars="200"/>
        <w:jc w:val="left"/>
        <w:rPr>
          <w:b w:val="0"/>
          <w:bCs w:val="0"/>
          <w:szCs w:val="21"/>
          <w:highlight w:val="none"/>
        </w:rPr>
      </w:pPr>
      <w:r>
        <w:rPr>
          <w:rFonts w:hint="eastAsia"/>
          <w:b w:val="0"/>
          <w:bCs w:val="0"/>
          <w:szCs w:val="21"/>
          <w:highlight w:val="none"/>
          <w:lang w:eastAsia="zh-CN"/>
        </w:rPr>
        <w:t>（</w:t>
      </w:r>
      <w:r>
        <w:rPr>
          <w:rFonts w:hint="eastAsia"/>
          <w:b w:val="0"/>
          <w:bCs w:val="0"/>
          <w:szCs w:val="21"/>
          <w:highlight w:val="none"/>
          <w:lang w:val="en-US" w:eastAsia="zh-CN"/>
        </w:rPr>
        <w:t>1</w:t>
      </w:r>
      <w:r>
        <w:rPr>
          <w:rFonts w:hint="eastAsia"/>
          <w:b w:val="0"/>
          <w:bCs w:val="0"/>
          <w:szCs w:val="21"/>
          <w:highlight w:val="none"/>
          <w:lang w:eastAsia="zh-CN"/>
        </w:rPr>
        <w:t>）</w:t>
      </w:r>
      <w:r>
        <w:rPr>
          <w:b w:val="0"/>
          <w:bCs w:val="0"/>
          <w:szCs w:val="21"/>
          <w:highlight w:val="none"/>
        </w:rPr>
        <w:t>开标一览表</w:t>
      </w:r>
    </w:p>
    <w:p>
      <w:pPr>
        <w:spacing w:line="420" w:lineRule="exact"/>
        <w:ind w:firstLine="420" w:firstLineChars="200"/>
        <w:jc w:val="left"/>
        <w:rPr>
          <w:b w:val="0"/>
          <w:bCs w:val="0"/>
          <w:szCs w:val="21"/>
        </w:rPr>
      </w:pPr>
      <w:r>
        <w:rPr>
          <w:rFonts w:hint="eastAsia"/>
          <w:b w:val="0"/>
          <w:bCs w:val="0"/>
          <w:szCs w:val="21"/>
          <w:lang w:val="zh-CN"/>
        </w:rPr>
        <w:t>（</w:t>
      </w:r>
      <w:r>
        <w:rPr>
          <w:rFonts w:hint="eastAsia"/>
          <w:b w:val="0"/>
          <w:bCs w:val="0"/>
          <w:szCs w:val="21"/>
          <w:lang w:val="en-US" w:eastAsia="zh-CN"/>
        </w:rPr>
        <w:t>2</w:t>
      </w:r>
      <w:r>
        <w:rPr>
          <w:rFonts w:hint="eastAsia"/>
          <w:b w:val="0"/>
          <w:bCs w:val="0"/>
          <w:szCs w:val="21"/>
          <w:lang w:val="zh-CN"/>
        </w:rPr>
        <w:t>）</w:t>
      </w:r>
      <w:r>
        <w:rPr>
          <w:b w:val="0"/>
          <w:bCs w:val="0"/>
          <w:szCs w:val="21"/>
        </w:rPr>
        <w:t>分项表报价表</w:t>
      </w:r>
    </w:p>
    <w:p>
      <w:pPr>
        <w:spacing w:line="420" w:lineRule="exact"/>
        <w:ind w:firstLine="420" w:firstLineChars="200"/>
        <w:jc w:val="left"/>
        <w:rPr>
          <w:b/>
          <w:bCs/>
          <w:szCs w:val="21"/>
        </w:rPr>
      </w:pPr>
      <w:r>
        <w:rPr>
          <w:szCs w:val="21"/>
        </w:rPr>
        <w:t xml:space="preserve">  </w:t>
      </w:r>
      <w:r>
        <w:rPr>
          <w:b/>
          <w:bCs/>
          <w:szCs w:val="21"/>
        </w:rPr>
        <w:t>上述</w:t>
      </w:r>
      <w:r>
        <w:rPr>
          <w:rFonts w:hint="eastAsia"/>
          <w:b/>
          <w:bCs/>
          <w:szCs w:val="21"/>
          <w:lang w:val="en-US" w:eastAsia="zh-CN"/>
        </w:rPr>
        <w:t>1-3</w:t>
      </w:r>
      <w:r>
        <w:rPr>
          <w:b/>
          <w:bCs/>
          <w:szCs w:val="21"/>
        </w:rPr>
        <w:t>项所有内容为必备材料，如有缺项为无效响应。</w:t>
      </w:r>
    </w:p>
    <w:p>
      <w:pPr>
        <w:spacing w:line="420" w:lineRule="exact"/>
        <w:ind w:firstLine="420" w:firstLineChars="200"/>
        <w:jc w:val="left"/>
        <w:rPr>
          <w:szCs w:val="21"/>
        </w:rPr>
      </w:pPr>
      <w:r>
        <w:rPr>
          <w:szCs w:val="21"/>
        </w:rPr>
        <w:t>（二）文件的签署和密封要求：</w:t>
      </w:r>
    </w:p>
    <w:p>
      <w:pPr>
        <w:widowControl/>
        <w:snapToGrid w:val="0"/>
        <w:spacing w:line="420" w:lineRule="exact"/>
        <w:ind w:firstLine="527" w:firstLineChars="250"/>
        <w:jc w:val="left"/>
        <w:rPr>
          <w:b/>
          <w:kern w:val="0"/>
          <w:szCs w:val="21"/>
        </w:rPr>
      </w:pPr>
      <w:r>
        <w:rPr>
          <w:b/>
          <w:kern w:val="0"/>
          <w:szCs w:val="21"/>
        </w:rPr>
        <w:t>1.询价响应文件为正本一份、副本贰份，需胶装成册，U盘壹份（</w:t>
      </w:r>
      <w:r>
        <w:rPr>
          <w:rFonts w:hint="eastAsia"/>
          <w:b/>
          <w:kern w:val="0"/>
          <w:szCs w:val="21"/>
        </w:rPr>
        <w:t>U盘里须包含响应文件盖公章（红章）正本的PDF扫描件及投标文件WORD版，所提供内容应与纸质文件完全一致</w:t>
      </w:r>
      <w:r>
        <w:rPr>
          <w:b/>
          <w:kern w:val="0"/>
          <w:szCs w:val="21"/>
        </w:rPr>
        <w:t>）；</w:t>
      </w:r>
    </w:p>
    <w:p>
      <w:pPr>
        <w:widowControl/>
        <w:snapToGrid w:val="0"/>
        <w:spacing w:line="420" w:lineRule="exact"/>
        <w:ind w:firstLine="525" w:firstLineChars="250"/>
        <w:jc w:val="left"/>
        <w:rPr>
          <w:kern w:val="0"/>
          <w:szCs w:val="21"/>
        </w:rPr>
      </w:pPr>
      <w:r>
        <w:rPr>
          <w:kern w:val="0"/>
          <w:szCs w:val="21"/>
        </w:rPr>
        <w:t>2.询价响应文件中复印件材料需加盖公章；</w:t>
      </w:r>
    </w:p>
    <w:p>
      <w:pPr>
        <w:widowControl/>
        <w:snapToGrid w:val="0"/>
        <w:spacing w:line="420" w:lineRule="exact"/>
        <w:ind w:firstLine="525" w:firstLineChars="250"/>
        <w:jc w:val="left"/>
        <w:rPr>
          <w:kern w:val="0"/>
          <w:szCs w:val="21"/>
        </w:rPr>
      </w:pPr>
      <w:r>
        <w:rPr>
          <w:kern w:val="0"/>
          <w:szCs w:val="21"/>
        </w:rPr>
        <w:t>3.询价响应文件须装袋密封，封口处须加盖单位公章，封面应注明采购项目编号、项目名称、采购人和响应单位名称，联系人，联系电话等。</w:t>
      </w:r>
    </w:p>
    <w:p>
      <w:pPr>
        <w:widowControl/>
        <w:snapToGrid w:val="0"/>
        <w:spacing w:line="420" w:lineRule="exact"/>
        <w:ind w:right="-153"/>
        <w:jc w:val="left"/>
        <w:rPr>
          <w:kern w:val="0"/>
          <w:szCs w:val="21"/>
        </w:rPr>
      </w:pPr>
      <w:r>
        <w:rPr>
          <w:szCs w:val="21"/>
        </w:rPr>
        <w:t>四、综合说明</w:t>
      </w:r>
    </w:p>
    <w:p>
      <w:pPr>
        <w:pStyle w:val="12"/>
        <w:spacing w:line="420" w:lineRule="exact"/>
        <w:ind w:firstLine="420" w:firstLineChars="200"/>
        <w:rPr>
          <w:rFonts w:ascii="Times New Roman" w:hAnsi="Times New Roman"/>
          <w:kern w:val="0"/>
          <w:sz w:val="21"/>
          <w:szCs w:val="21"/>
        </w:rPr>
      </w:pPr>
      <w:r>
        <w:rPr>
          <w:rFonts w:ascii="Times New Roman" w:hAnsi="Times New Roman"/>
          <w:kern w:val="0"/>
          <w:sz w:val="21"/>
          <w:szCs w:val="21"/>
        </w:rPr>
        <w:t>1.本次询价采购，响应单位须报出完整且唯一的总报价。报价应包括</w:t>
      </w:r>
      <w:r>
        <w:rPr>
          <w:rFonts w:ascii="Times New Roman" w:hAnsi="Times New Roman"/>
          <w:sz w:val="21"/>
          <w:szCs w:val="21"/>
        </w:rPr>
        <w:t>但不限于询价文件及其基本技术要求范围内相应服务前的准备（包括现场踏勘等）、</w:t>
      </w:r>
      <w:r>
        <w:rPr>
          <w:rFonts w:ascii="Times New Roman" w:hAnsi="Times New Roman"/>
          <w:b/>
          <w:bCs/>
          <w:sz w:val="21"/>
          <w:szCs w:val="21"/>
        </w:rPr>
        <w:t>人工工资、报告费、现场快筛、车辆设备、利润、税金、风险及政策性文件</w:t>
      </w:r>
      <w:r>
        <w:rPr>
          <w:rFonts w:ascii="Times New Roman" w:hAnsi="Times New Roman"/>
          <w:sz w:val="21"/>
          <w:szCs w:val="21"/>
        </w:rPr>
        <w:t>规定等各项应有费用，以及为完成招标文件规定的服务工作所涉及到的一切相关费用</w:t>
      </w:r>
      <w:r>
        <w:rPr>
          <w:rFonts w:ascii="Times New Roman" w:hAnsi="Times New Roman"/>
          <w:kern w:val="0"/>
          <w:sz w:val="21"/>
          <w:szCs w:val="21"/>
          <w:lang w:val="zh-CN"/>
        </w:rPr>
        <w:t>。</w:t>
      </w:r>
      <w:r>
        <w:rPr>
          <w:rFonts w:ascii="Times New Roman" w:hAnsi="Times New Roman"/>
          <w:sz w:val="21"/>
          <w:szCs w:val="21"/>
        </w:rPr>
        <w:t>同时，除非合同条款中另有规定，否则，投标单位所报价格在合同投标、实施期间不因市场变化因素而变</w:t>
      </w:r>
      <w:r>
        <w:rPr>
          <w:rFonts w:ascii="Times New Roman" w:hAnsi="Times New Roman"/>
          <w:kern w:val="0"/>
          <w:sz w:val="21"/>
          <w:szCs w:val="21"/>
        </w:rPr>
        <w:t>动。以最低报价确定成交供应商。</w:t>
      </w:r>
    </w:p>
    <w:p>
      <w:pPr>
        <w:widowControl/>
        <w:snapToGrid w:val="0"/>
        <w:spacing w:line="420" w:lineRule="exact"/>
        <w:ind w:right="-153" w:firstLine="525" w:firstLineChars="250"/>
        <w:jc w:val="left"/>
        <w:rPr>
          <w:kern w:val="0"/>
          <w:szCs w:val="21"/>
        </w:rPr>
      </w:pPr>
      <w:r>
        <w:rPr>
          <w:kern w:val="0"/>
          <w:szCs w:val="21"/>
        </w:rPr>
        <w:t>2.请贵单位按上述要求编制询价响应文件盖章密封，并于</w:t>
      </w:r>
      <w:r>
        <w:rPr>
          <w:b/>
          <w:szCs w:val="21"/>
        </w:rPr>
        <w:t>2023年</w:t>
      </w:r>
      <w:r>
        <w:rPr>
          <w:rFonts w:hint="eastAsia"/>
          <w:b/>
          <w:szCs w:val="21"/>
          <w:lang w:val="en-US" w:eastAsia="zh-CN"/>
        </w:rPr>
        <w:t>11</w:t>
      </w:r>
      <w:r>
        <w:rPr>
          <w:b/>
          <w:szCs w:val="21"/>
        </w:rPr>
        <w:t>月</w:t>
      </w:r>
      <w:r>
        <w:rPr>
          <w:rFonts w:hint="eastAsia"/>
          <w:b/>
          <w:szCs w:val="21"/>
          <w:lang w:val="en-US" w:eastAsia="zh-CN"/>
        </w:rPr>
        <w:t>08</w:t>
      </w:r>
      <w:r>
        <w:rPr>
          <w:b/>
          <w:szCs w:val="21"/>
        </w:rPr>
        <w:t>日下午1</w:t>
      </w:r>
      <w:r>
        <w:rPr>
          <w:rFonts w:hint="eastAsia"/>
          <w:b/>
          <w:szCs w:val="21"/>
          <w:lang w:val="en-US" w:eastAsia="zh-CN"/>
        </w:rPr>
        <w:t>3</w:t>
      </w:r>
      <w:r>
        <w:rPr>
          <w:b/>
          <w:szCs w:val="21"/>
        </w:rPr>
        <w:t>：30</w:t>
      </w:r>
      <w:r>
        <w:rPr>
          <w:b/>
          <w:bCs/>
          <w:kern w:val="0"/>
          <w:szCs w:val="21"/>
        </w:rPr>
        <w:t>前</w:t>
      </w:r>
      <w:r>
        <w:rPr>
          <w:kern w:val="0"/>
          <w:szCs w:val="21"/>
        </w:rPr>
        <w:t>送交至常州市恒卓建设工程管理咨询有限公司。不按询价文件组成要求制作报价文件并签署的或过时递交文件的，均为无效文件。本项目将于</w:t>
      </w:r>
      <w:r>
        <w:rPr>
          <w:b/>
          <w:szCs w:val="21"/>
        </w:rPr>
        <w:t>2023年</w:t>
      </w:r>
      <w:r>
        <w:rPr>
          <w:rFonts w:hint="eastAsia"/>
          <w:b/>
          <w:szCs w:val="21"/>
          <w:lang w:val="en-US" w:eastAsia="zh-CN"/>
        </w:rPr>
        <w:t>11</w:t>
      </w:r>
      <w:r>
        <w:rPr>
          <w:b/>
          <w:szCs w:val="21"/>
        </w:rPr>
        <w:t>月</w:t>
      </w:r>
      <w:r>
        <w:rPr>
          <w:rFonts w:hint="eastAsia"/>
          <w:b/>
          <w:szCs w:val="21"/>
          <w:lang w:val="en-US" w:eastAsia="zh-CN"/>
        </w:rPr>
        <w:t>08</w:t>
      </w:r>
      <w:r>
        <w:rPr>
          <w:b/>
          <w:szCs w:val="21"/>
        </w:rPr>
        <w:t>日下午1</w:t>
      </w:r>
      <w:r>
        <w:rPr>
          <w:rFonts w:hint="eastAsia"/>
          <w:b/>
          <w:szCs w:val="21"/>
          <w:lang w:val="en-US" w:eastAsia="zh-CN"/>
        </w:rPr>
        <w:t>3</w:t>
      </w:r>
      <w:r>
        <w:rPr>
          <w:b/>
          <w:szCs w:val="21"/>
        </w:rPr>
        <w:t>：30</w:t>
      </w:r>
      <w:r>
        <w:rPr>
          <w:b/>
          <w:bCs/>
          <w:kern w:val="0"/>
          <w:szCs w:val="21"/>
        </w:rPr>
        <w:t>前</w:t>
      </w:r>
      <w:r>
        <w:rPr>
          <w:kern w:val="0"/>
          <w:szCs w:val="21"/>
        </w:rPr>
        <w:t>在常州市恒卓建设工程管理咨询有限公司开始评标。</w:t>
      </w:r>
    </w:p>
    <w:p>
      <w:pPr>
        <w:widowControl/>
        <w:snapToGrid w:val="0"/>
        <w:spacing w:line="420" w:lineRule="exact"/>
        <w:ind w:right="-154" w:firstLine="525" w:firstLineChars="250"/>
        <w:jc w:val="left"/>
        <w:rPr>
          <w:kern w:val="0"/>
          <w:szCs w:val="21"/>
        </w:rPr>
      </w:pPr>
      <w:r>
        <w:rPr>
          <w:kern w:val="0"/>
          <w:szCs w:val="21"/>
        </w:rPr>
        <w:t>3.成交原则：在符合采购需求、质量和服务相等且报价未超过采购预算的前提下，以提出最低报价的响应单位为成交供应商。若最低报价相同，则</w:t>
      </w:r>
      <w:r>
        <w:rPr>
          <w:szCs w:val="21"/>
        </w:rPr>
        <w:t>依次</w:t>
      </w:r>
      <w:r>
        <w:rPr>
          <w:rStyle w:val="48"/>
          <w:rFonts w:ascii="Times New Roman" w:hAnsi="Times New Roman"/>
          <w:szCs w:val="21"/>
        </w:rPr>
        <w:t>按技术指标高优先、质量保证</w:t>
      </w:r>
      <w:r>
        <w:rPr>
          <w:szCs w:val="21"/>
        </w:rPr>
        <w:t>期长优先、交货期短优先、故障响应时间短优先的顺序排列</w:t>
      </w:r>
      <w:r>
        <w:rPr>
          <w:kern w:val="0"/>
          <w:szCs w:val="21"/>
        </w:rPr>
        <w:t xml:space="preserve">选择成交供应商。                                                         </w:t>
      </w:r>
    </w:p>
    <w:p>
      <w:pPr>
        <w:widowControl/>
        <w:snapToGrid w:val="0"/>
        <w:spacing w:line="420" w:lineRule="exact"/>
        <w:ind w:right="-154" w:firstLine="527" w:firstLineChars="250"/>
        <w:jc w:val="left"/>
        <w:rPr>
          <w:b/>
          <w:bCs/>
          <w:kern w:val="0"/>
          <w:szCs w:val="21"/>
          <w:highlight w:val="none"/>
        </w:rPr>
      </w:pPr>
      <w:r>
        <w:rPr>
          <w:b/>
          <w:bCs/>
          <w:kern w:val="0"/>
          <w:szCs w:val="21"/>
          <w:highlight w:val="none"/>
        </w:rPr>
        <w:t>4. 投标保证金</w:t>
      </w:r>
    </w:p>
    <w:p>
      <w:pPr>
        <w:spacing w:line="390" w:lineRule="exact"/>
        <w:ind w:firstLine="420" w:firstLineChars="200"/>
        <w:rPr>
          <w:szCs w:val="21"/>
        </w:rPr>
      </w:pPr>
      <w:r>
        <w:rPr>
          <w:szCs w:val="21"/>
          <w:highlight w:val="none"/>
        </w:rPr>
        <w:t>4.1投标保证金是投标文件的一个组成部分</w:t>
      </w:r>
      <w:r>
        <w:rPr>
          <w:szCs w:val="21"/>
        </w:rPr>
        <w:t>，投标单位须按规定从公司账户缴纳。在开标时，未按要求缴纳保证金的投标无效，无效投标不予参加评审。</w:t>
      </w:r>
    </w:p>
    <w:p>
      <w:pPr>
        <w:spacing w:line="390" w:lineRule="exact"/>
        <w:ind w:firstLine="420" w:firstLineChars="200"/>
        <w:rPr>
          <w:b/>
          <w:szCs w:val="21"/>
        </w:rPr>
      </w:pPr>
      <w:r>
        <w:rPr>
          <w:szCs w:val="21"/>
        </w:rPr>
        <w:t>4.2未中标的投标单位保证金将在公示有效期（七个工作日）后五个工作日内无息退回。未中标单位须自行将保证金收据背书单位名称、开户行及账号、联系人及电话后至综合办办理退款事宜。</w:t>
      </w:r>
    </w:p>
    <w:p>
      <w:pPr>
        <w:spacing w:line="390" w:lineRule="exact"/>
        <w:ind w:firstLine="420" w:firstLineChars="200"/>
        <w:rPr>
          <w:b/>
          <w:szCs w:val="21"/>
        </w:rPr>
      </w:pPr>
      <w:r>
        <w:rPr>
          <w:szCs w:val="21"/>
        </w:rPr>
        <w:t>4.3中标单位的投标保证金将在其合同签约完毕（合同须由代理机构备案）后五个工作日内无息退还。</w:t>
      </w:r>
    </w:p>
    <w:p>
      <w:pPr>
        <w:spacing w:line="390" w:lineRule="exact"/>
        <w:ind w:firstLine="420" w:firstLineChars="200"/>
        <w:rPr>
          <w:b/>
          <w:szCs w:val="21"/>
        </w:rPr>
      </w:pPr>
      <w:r>
        <w:rPr>
          <w:szCs w:val="21"/>
        </w:rPr>
        <w:t>4.4投标单位出现下列情况之一的，取消其中标资格，</w:t>
      </w:r>
      <w:r>
        <w:rPr>
          <w:b/>
          <w:szCs w:val="21"/>
        </w:rPr>
        <w:t>并没收其投标保证金：</w:t>
      </w:r>
    </w:p>
    <w:p>
      <w:pPr>
        <w:spacing w:line="390" w:lineRule="exact"/>
        <w:ind w:firstLine="420" w:firstLineChars="200"/>
        <w:rPr>
          <w:szCs w:val="21"/>
        </w:rPr>
      </w:pPr>
      <w:r>
        <w:rPr>
          <w:szCs w:val="21"/>
        </w:rPr>
        <w:t>4.4.1投标单位在投标有效期内撤回其投标文件；</w:t>
      </w:r>
    </w:p>
    <w:p>
      <w:pPr>
        <w:spacing w:line="390" w:lineRule="exact"/>
        <w:ind w:firstLine="420" w:firstLineChars="200"/>
        <w:rPr>
          <w:szCs w:val="21"/>
        </w:rPr>
      </w:pPr>
      <w:r>
        <w:rPr>
          <w:szCs w:val="21"/>
        </w:rPr>
        <w:t>4.4.2中标单位未能在招标文件规定的期限提交履约担保；</w:t>
      </w:r>
    </w:p>
    <w:p>
      <w:pPr>
        <w:spacing w:line="390" w:lineRule="exact"/>
        <w:ind w:firstLine="420" w:firstLineChars="200"/>
        <w:rPr>
          <w:szCs w:val="21"/>
        </w:rPr>
      </w:pPr>
      <w:r>
        <w:rPr>
          <w:szCs w:val="21"/>
        </w:rPr>
        <w:t>4.4.3中标单位无正当理由拒绝签订合同或者由于投标单位的原因导致中标无效的；</w:t>
      </w:r>
    </w:p>
    <w:p>
      <w:pPr>
        <w:spacing w:line="390" w:lineRule="exact"/>
        <w:ind w:firstLine="420" w:firstLineChars="200"/>
        <w:rPr>
          <w:szCs w:val="21"/>
        </w:rPr>
      </w:pPr>
      <w:r>
        <w:rPr>
          <w:szCs w:val="21"/>
        </w:rPr>
        <w:t>4.4.4投标单位提供的有关资料、资格证明文件被确认是不真实的或投标单位之间被证实有串通（统一哄抬价格）、欺诈行为；</w:t>
      </w:r>
    </w:p>
    <w:p>
      <w:pPr>
        <w:spacing w:line="390" w:lineRule="exact"/>
        <w:ind w:firstLine="420" w:firstLineChars="200"/>
        <w:rPr>
          <w:szCs w:val="21"/>
        </w:rPr>
      </w:pPr>
      <w:r>
        <w:rPr>
          <w:szCs w:val="21"/>
        </w:rPr>
        <w:t>4.4.5投标单位被证明有妨碍其他人公平竞争、损害代理机构或者其他投标单位合法权益的；</w:t>
      </w:r>
    </w:p>
    <w:p>
      <w:pPr>
        <w:spacing w:line="390" w:lineRule="exact"/>
        <w:ind w:firstLine="420" w:firstLineChars="200"/>
        <w:rPr>
          <w:b/>
          <w:bCs/>
          <w:kern w:val="0"/>
          <w:szCs w:val="21"/>
          <w:highlight w:val="yellow"/>
        </w:rPr>
      </w:pPr>
      <w:r>
        <w:rPr>
          <w:szCs w:val="21"/>
        </w:rPr>
        <w:t>4.4.6法律法规认定的其他情形。</w:t>
      </w:r>
    </w:p>
    <w:p>
      <w:pPr>
        <w:widowControl/>
        <w:snapToGrid w:val="0"/>
        <w:spacing w:line="420" w:lineRule="exact"/>
        <w:ind w:right="-154" w:firstLine="527" w:firstLineChars="250"/>
        <w:jc w:val="left"/>
        <w:rPr>
          <w:b/>
          <w:bCs/>
          <w:kern w:val="0"/>
          <w:szCs w:val="21"/>
          <w:highlight w:val="none"/>
        </w:rPr>
      </w:pPr>
      <w:r>
        <w:rPr>
          <w:b/>
          <w:bCs/>
          <w:kern w:val="0"/>
          <w:szCs w:val="21"/>
          <w:highlight w:val="none"/>
        </w:rPr>
        <w:t>5.履约保证金金额</w:t>
      </w:r>
    </w:p>
    <w:p>
      <w:pPr>
        <w:widowControl/>
        <w:snapToGrid w:val="0"/>
        <w:spacing w:line="420" w:lineRule="exact"/>
        <w:ind w:right="-153" w:firstLine="525" w:firstLineChars="250"/>
        <w:jc w:val="left"/>
        <w:rPr>
          <w:kern w:val="0"/>
          <w:szCs w:val="21"/>
        </w:rPr>
      </w:pPr>
      <w:r>
        <w:rPr>
          <w:rFonts w:hint="default" w:ascii="Times New Roman" w:hAnsi="Times New Roman" w:eastAsia="宋体" w:cs="Times New Roman"/>
          <w:sz w:val="21"/>
          <w:szCs w:val="21"/>
          <w:lang w:val="en-US" w:eastAsia="zh-CN"/>
        </w:rPr>
        <w:t>中标</w:t>
      </w:r>
      <w:r>
        <w:rPr>
          <w:rFonts w:hint="eastAsia" w:cs="Times New Roman"/>
          <w:sz w:val="21"/>
          <w:szCs w:val="21"/>
          <w:lang w:val="en-US" w:eastAsia="zh-CN"/>
        </w:rPr>
        <w:t>单位</w:t>
      </w:r>
      <w:r>
        <w:rPr>
          <w:rFonts w:hint="default" w:ascii="Times New Roman" w:hAnsi="Times New Roman" w:eastAsia="宋体" w:cs="Times New Roman"/>
          <w:sz w:val="21"/>
          <w:szCs w:val="21"/>
          <w:lang w:val="en-US" w:eastAsia="zh-CN"/>
        </w:rPr>
        <w:t>应在拿到中标通知书后签订合同前向采购人</w:t>
      </w:r>
      <w:r>
        <w:rPr>
          <w:rFonts w:hint="eastAsia" w:cs="Times New Roman"/>
          <w:sz w:val="21"/>
          <w:szCs w:val="21"/>
          <w:lang w:val="en-US" w:eastAsia="zh-CN"/>
        </w:rPr>
        <w:t>缴纳</w:t>
      </w:r>
      <w:r>
        <w:rPr>
          <w:rFonts w:hint="default" w:ascii="Times New Roman" w:hAnsi="Times New Roman" w:eastAsia="宋体" w:cs="Times New Roman"/>
          <w:sz w:val="21"/>
          <w:szCs w:val="21"/>
          <w:lang w:val="en-US" w:eastAsia="zh-CN"/>
        </w:rPr>
        <w:t>中标价格的10%的履约保证金，并注明该项目的履约保证金。</w:t>
      </w:r>
      <w:r>
        <w:rPr>
          <w:rFonts w:hint="default" w:eastAsia="宋体" w:cs="Times New Roman"/>
          <w:sz w:val="21"/>
          <w:szCs w:val="21"/>
          <w:lang w:val="en-US" w:eastAsia="zh-CN"/>
        </w:rPr>
        <w:t>合同履约</w:t>
      </w:r>
      <w:r>
        <w:rPr>
          <w:rFonts w:hint="default" w:ascii="Times New Roman" w:hAnsi="Times New Roman" w:eastAsia="宋体" w:cs="Times New Roman"/>
          <w:sz w:val="21"/>
          <w:szCs w:val="21"/>
          <w:lang w:val="en-US" w:eastAsia="zh-CN"/>
        </w:rPr>
        <w:t>完成后无息退还</w:t>
      </w:r>
      <w:r>
        <w:rPr>
          <w:kern w:val="0"/>
          <w:szCs w:val="21"/>
        </w:rPr>
        <w:t>。</w:t>
      </w:r>
    </w:p>
    <w:p>
      <w:pPr>
        <w:widowControl/>
        <w:snapToGrid w:val="0"/>
        <w:spacing w:line="420" w:lineRule="exact"/>
        <w:ind w:right="-154" w:firstLine="525" w:firstLineChars="250"/>
        <w:jc w:val="left"/>
        <w:rPr>
          <w:kern w:val="0"/>
          <w:szCs w:val="21"/>
        </w:rPr>
      </w:pPr>
      <w:r>
        <w:rPr>
          <w:kern w:val="0"/>
          <w:szCs w:val="21"/>
        </w:rPr>
        <w:t xml:space="preserve">6.参加询价的供应商若认为询价函的资格要求和技术要求有倾向性或不公正性，可在 </w:t>
      </w:r>
      <w:r>
        <w:rPr>
          <w:b/>
          <w:bCs/>
          <w:kern w:val="0"/>
          <w:szCs w:val="21"/>
        </w:rPr>
        <w:t>2023年</w:t>
      </w:r>
      <w:r>
        <w:rPr>
          <w:rFonts w:hint="eastAsia"/>
          <w:b/>
          <w:bCs/>
          <w:kern w:val="0"/>
          <w:szCs w:val="21"/>
          <w:lang w:val="en-US" w:eastAsia="zh-CN"/>
        </w:rPr>
        <w:t>11</w:t>
      </w:r>
      <w:r>
        <w:rPr>
          <w:b/>
          <w:bCs/>
          <w:kern w:val="0"/>
          <w:szCs w:val="21"/>
        </w:rPr>
        <w:t>月</w:t>
      </w:r>
      <w:r>
        <w:rPr>
          <w:rFonts w:hint="eastAsia"/>
          <w:b/>
          <w:bCs/>
          <w:kern w:val="0"/>
          <w:szCs w:val="21"/>
          <w:lang w:val="en-US" w:eastAsia="zh-CN"/>
        </w:rPr>
        <w:t>07</w:t>
      </w:r>
      <w:r>
        <w:rPr>
          <w:b/>
          <w:bCs/>
          <w:kern w:val="0"/>
          <w:szCs w:val="21"/>
        </w:rPr>
        <w:t>日</w:t>
      </w:r>
      <w:r>
        <w:rPr>
          <w:rFonts w:hint="eastAsia"/>
          <w:b/>
          <w:bCs/>
          <w:kern w:val="0"/>
          <w:szCs w:val="21"/>
          <w:lang w:val="en-US" w:eastAsia="zh-CN"/>
        </w:rPr>
        <w:t>20</w:t>
      </w:r>
      <w:r>
        <w:rPr>
          <w:b/>
          <w:bCs/>
          <w:kern w:val="0"/>
          <w:szCs w:val="21"/>
        </w:rPr>
        <w:t>：30之前以书面形式或邮件形式（994093050@qq.com）</w:t>
      </w:r>
      <w:r>
        <w:rPr>
          <w:kern w:val="0"/>
          <w:szCs w:val="21"/>
        </w:rPr>
        <w:t>向我公司提出。对于没有提出澄清要求又参与了该项目的供应商将被视为完全认同该询价函，询价响应文件递交截止期后不再受理针对询价函的相关质疑和投诉。</w:t>
      </w:r>
    </w:p>
    <w:p>
      <w:pPr>
        <w:spacing w:line="420" w:lineRule="exact"/>
        <w:ind w:firstLine="420" w:firstLineChars="200"/>
        <w:rPr>
          <w:kern w:val="0"/>
          <w:szCs w:val="21"/>
        </w:rPr>
      </w:pPr>
      <w:r>
        <w:rPr>
          <w:kern w:val="0"/>
          <w:szCs w:val="21"/>
        </w:rPr>
        <w:t>7.成交单位需支付成交服务费，</w:t>
      </w:r>
      <w:r>
        <w:rPr>
          <w:szCs w:val="21"/>
        </w:rPr>
        <w:t>按差额定率累进法计算，</w:t>
      </w:r>
      <w:r>
        <w:rPr>
          <w:kern w:val="0"/>
          <w:szCs w:val="21"/>
        </w:rPr>
        <w:t>收费</w:t>
      </w:r>
      <w:r>
        <w:rPr>
          <w:b/>
          <w:szCs w:val="21"/>
        </w:rPr>
        <w:t>按照下列标准下浮40%收取</w:t>
      </w:r>
      <w:r>
        <w:rPr>
          <w:kern w:val="0"/>
          <w:szCs w:val="21"/>
        </w:rPr>
        <w:t>，成交单位应在成交通知书发出后五个工作日内（合同签订前）将中标服务费付至代理机构收取投标保证金的帐户。不足3000元的，按3000元计取。</w:t>
      </w:r>
    </w:p>
    <w:tbl>
      <w:tblPr>
        <w:tblStyle w:val="23"/>
        <w:tblW w:w="6019" w:type="dxa"/>
        <w:tblInd w:w="1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1"/>
        <w:gridCol w:w="2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trPr>
        <w:tc>
          <w:tcPr>
            <w:tcW w:w="3391" w:type="dxa"/>
          </w:tcPr>
          <w:p>
            <w:pPr>
              <w:spacing w:line="420" w:lineRule="exact"/>
              <w:ind w:firstLine="945" w:firstLineChars="450"/>
              <w:rPr>
                <w:bCs/>
                <w:szCs w:val="21"/>
              </w:rPr>
            </w:pPr>
            <w:r>
              <w:rPr>
                <w:bCs/>
                <w:szCs w:val="21"/>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-4445</wp:posOffset>
                      </wp:positionV>
                      <wp:extent cx="1356995" cy="1645285"/>
                      <wp:effectExtent l="3810" t="3175" r="10795" b="12700"/>
                      <wp:wrapNone/>
                      <wp:docPr id="1" name="Line 47"/>
                      <wp:cNvGraphicFramePr/>
                      <a:graphic xmlns:a="http://schemas.openxmlformats.org/drawingml/2006/main">
                        <a:graphicData uri="http://schemas.microsoft.com/office/word/2010/wordprocessingShape">
                          <wps:wsp>
                            <wps:cNvCnPr/>
                            <wps:spPr>
                              <a:xfrm flipH="1" flipV="1">
                                <a:off x="0" y="0"/>
                                <a:ext cx="1356995" cy="16452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7" o:spid="_x0000_s1026" o:spt="20" style="position:absolute;left:0pt;flip:x y;margin-left:27pt;margin-top:-0.35pt;height:129.55pt;width:106.85pt;z-index:251659264;mso-width-relative:page;mso-height-relative:page;" filled="f" stroked="t" coordsize="21600,21600" o:gfxdata="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AqwdHUAAAA&#10;CAEAAA8AAAAAAAAAAQAgAAAAIgAAAGRycy9kb3ducmV2LnhtbFBLAQIUABQAAAAIAIdO4kAtUOsh&#10;6AEAAPYDAAAOAAAAAAAAAAEAIAAAACMBAABkcnMvZTJvRG9jLnhtbFBLBQYAAAAABgAGAFkBAAB9&#10;BQAAAAA=&#10;">
                      <v:fill on="f" focussize="0,0"/>
                      <v:stroke color="#000000" joinstyle="round"/>
                      <v:imagedata o:title=""/>
                      <o:lock v:ext="edit" aspectratio="f"/>
                    </v:line>
                  </w:pict>
                </mc:Fallback>
              </mc:AlternateContent>
            </w:r>
            <w:r>
              <w:rPr>
                <w:bCs/>
                <w:szCs w:val="21"/>
              </w:rPr>
              <mc:AlternateContent>
                <mc:Choice Requires="wps">
                  <w:drawing>
                    <wp:anchor distT="0" distB="0" distL="114300" distR="114300" simplePos="0" relativeHeight="251660288" behindDoc="0" locked="0" layoutInCell="1" allowOverlap="1">
                      <wp:simplePos x="0" y="0"/>
                      <wp:positionH relativeFrom="column">
                        <wp:posOffset>-112395</wp:posOffset>
                      </wp:positionH>
                      <wp:positionV relativeFrom="paragraph">
                        <wp:posOffset>-4445</wp:posOffset>
                      </wp:positionV>
                      <wp:extent cx="635" cy="0"/>
                      <wp:effectExtent l="0" t="0" r="0" b="0"/>
                      <wp:wrapNone/>
                      <wp:docPr id="2" name="Line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5" o:spid="_x0000_s1026" o:spt="20" style="position:absolute;left:0pt;margin-left:-8.85pt;margin-top:-0.35pt;height:0pt;width:0.05pt;z-index:251660288;mso-width-relative:page;mso-height-relative:page;" filled="f" stroked="t" coordsize="21600,21600" o:gfxdata="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6JQU3TAAAABwEAAA8AAAAAAAAAAQAgAAAAIgAA&#10;AGRycy9kb3ducmV2LnhtbFBLAQIUABQAAAAIAIdO4kCF5ueY1AEAANgDAAAOAAAAAAAAAAEAIAAA&#10;ACIBAABkcnMvZTJvRG9jLnhtbFBLBQYAAAAABgAGAFkBAABoBQAAAAA=&#10;">
                      <v:fill on="f" focussize="0,0"/>
                      <v:stroke color="#000000" joinstyle="round"/>
                      <v:imagedata o:title=""/>
                      <o:lock v:ext="edit" aspectratio="f"/>
                    </v:line>
                  </w:pict>
                </mc:Fallback>
              </mc:AlternateContent>
            </w:r>
            <w:r>
              <w:rPr>
                <w:bCs/>
                <w:szCs w:val="21"/>
              </w:rPr>
              <w:t>服</w:t>
            </w:r>
          </w:p>
          <w:p>
            <w:pPr>
              <w:spacing w:line="420" w:lineRule="exact"/>
              <w:ind w:firstLine="210" w:firstLineChars="100"/>
              <w:rPr>
                <w:bCs/>
                <w:szCs w:val="21"/>
              </w:rPr>
            </w:pPr>
            <w:r>
              <w:rPr>
                <w:bCs/>
                <w:szCs w:val="21"/>
              </w:rPr>
              <w:t>费　　　  务</w:t>
            </w:r>
          </w:p>
          <w:p>
            <w:pPr>
              <w:spacing w:line="420" w:lineRule="exact"/>
              <w:ind w:firstLine="1050" w:firstLineChars="500"/>
              <w:rPr>
                <w:bCs/>
                <w:szCs w:val="21"/>
              </w:rPr>
            </w:pPr>
            <w:r>
              <w:rPr>
                <w:bCs/>
                <w:szCs w:val="21"/>
              </w:rPr>
              <mc:AlternateContent>
                <mc:Choice Requires="wps">
                  <w:drawing>
                    <wp:anchor distT="0" distB="0" distL="114300" distR="114300" simplePos="0" relativeHeight="251661312" behindDoc="0" locked="0" layoutInCell="1" allowOverlap="1">
                      <wp:simplePos x="0" y="0"/>
                      <wp:positionH relativeFrom="column">
                        <wp:posOffset>-82550</wp:posOffset>
                      </wp:positionH>
                      <wp:positionV relativeFrom="paragraph">
                        <wp:posOffset>90805</wp:posOffset>
                      </wp:positionV>
                      <wp:extent cx="1763395" cy="997585"/>
                      <wp:effectExtent l="2540" t="4445" r="1905" b="3810"/>
                      <wp:wrapNone/>
                      <wp:docPr id="3" name="Line 46"/>
                      <wp:cNvGraphicFramePr/>
                      <a:graphic xmlns:a="http://schemas.openxmlformats.org/drawingml/2006/main">
                        <a:graphicData uri="http://schemas.microsoft.com/office/word/2010/wordprocessingShape">
                          <wps:wsp>
                            <wps:cNvCnPr/>
                            <wps:spPr>
                              <a:xfrm flipH="1" flipV="1">
                                <a:off x="0" y="0"/>
                                <a:ext cx="1763395" cy="9975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6" o:spid="_x0000_s1026" o:spt="20" style="position:absolute;left:0pt;flip:x y;margin-left:-6.5pt;margin-top:7.15pt;height:78.55pt;width:138.85pt;z-index:251661312;mso-width-relative:page;mso-height-relative:page;" filled="f" stroked="t" coordsize="21600,21600" o:gfxdata="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7vf7PVAAAA&#10;CgEAAA8AAAAAAAAAAQAgAAAAIgAAAGRycy9kb3ducmV2LnhtbFBLAQIUABQAAAAIAIdO4kAW00Zf&#10;5wEAAPUDAAAOAAAAAAAAAAEAIAAAACQBAABkcnMvZTJvRG9jLnhtbFBLBQYAAAAABgAGAFkBAAB9&#10;BQAAAAA=&#10;">
                      <v:fill on="f" focussize="0,0"/>
                      <v:stroke color="#000000" joinstyle="round"/>
                      <v:imagedata o:title=""/>
                      <o:lock v:ext="edit" aspectratio="f"/>
                    </v:line>
                  </w:pict>
                </mc:Fallback>
              </mc:AlternateContent>
            </w:r>
            <w:r>
              <w:rPr>
                <w:bCs/>
                <w:szCs w:val="21"/>
              </w:rPr>
              <w:t>　   类</w:t>
            </w:r>
          </w:p>
          <w:p>
            <w:pPr>
              <w:spacing w:line="420" w:lineRule="exact"/>
              <w:ind w:firstLine="1050" w:firstLineChars="500"/>
              <w:rPr>
                <w:bCs/>
                <w:szCs w:val="21"/>
              </w:rPr>
            </w:pPr>
            <w:r>
              <w:rPr>
                <w:bCs/>
                <w:szCs w:val="21"/>
              </w:rPr>
              <w:t>率　    型</w:t>
            </w:r>
          </w:p>
          <w:p>
            <w:pPr>
              <w:spacing w:line="420" w:lineRule="exact"/>
              <w:ind w:firstLine="1050" w:firstLineChars="500"/>
              <w:rPr>
                <w:bCs/>
                <w:szCs w:val="21"/>
              </w:rPr>
            </w:pPr>
            <w:r>
              <w:rPr>
                <w:bCs/>
                <w:szCs w:val="21"/>
              </w:rPr>
              <w:t>　　　　</w:t>
            </w:r>
          </w:p>
          <w:p>
            <w:pPr>
              <w:spacing w:line="420" w:lineRule="exact"/>
              <w:rPr>
                <w:bCs/>
                <w:szCs w:val="21"/>
              </w:rPr>
            </w:pPr>
            <w:r>
              <w:rPr>
                <w:bCs/>
                <w:szCs w:val="21"/>
              </w:rPr>
              <w:t>中标金额（万元）</w:t>
            </w:r>
          </w:p>
        </w:tc>
        <w:tc>
          <w:tcPr>
            <w:tcW w:w="2628" w:type="dxa"/>
            <w:vAlign w:val="center"/>
          </w:tcPr>
          <w:p>
            <w:pPr>
              <w:spacing w:line="420" w:lineRule="exact"/>
              <w:jc w:val="center"/>
              <w:rPr>
                <w:bCs/>
                <w:szCs w:val="21"/>
              </w:rPr>
            </w:pPr>
            <w:r>
              <w:rPr>
                <w:bCs/>
                <w:szCs w:val="21"/>
              </w:rPr>
              <w:t>服务招标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spacing w:line="420" w:lineRule="exact"/>
              <w:jc w:val="center"/>
              <w:rPr>
                <w:szCs w:val="21"/>
              </w:rPr>
            </w:pPr>
            <w:r>
              <w:rPr>
                <w:szCs w:val="21"/>
              </w:rPr>
              <w:t>100（含，下同）以下</w:t>
            </w:r>
          </w:p>
        </w:tc>
        <w:tc>
          <w:tcPr>
            <w:tcW w:w="2628" w:type="dxa"/>
          </w:tcPr>
          <w:p>
            <w:pPr>
              <w:spacing w:line="420" w:lineRule="exact"/>
              <w:jc w:val="center"/>
              <w:rPr>
                <w:szCs w:val="21"/>
              </w:rPr>
            </w:pPr>
            <w:r>
              <w:rPr>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spacing w:line="420" w:lineRule="exact"/>
              <w:jc w:val="center"/>
              <w:rPr>
                <w:szCs w:val="21"/>
              </w:rPr>
            </w:pPr>
            <w:r>
              <w:rPr>
                <w:szCs w:val="21"/>
              </w:rPr>
              <w:t>100-500</w:t>
            </w:r>
          </w:p>
        </w:tc>
        <w:tc>
          <w:tcPr>
            <w:tcW w:w="2628" w:type="dxa"/>
          </w:tcPr>
          <w:p>
            <w:pPr>
              <w:spacing w:line="420" w:lineRule="exact"/>
              <w:jc w:val="center"/>
              <w:rPr>
                <w:szCs w:val="21"/>
              </w:rPr>
            </w:pPr>
            <w:r>
              <w:rPr>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3391" w:type="dxa"/>
          </w:tcPr>
          <w:p>
            <w:pPr>
              <w:spacing w:line="420" w:lineRule="exact"/>
              <w:jc w:val="center"/>
              <w:rPr>
                <w:szCs w:val="21"/>
              </w:rPr>
            </w:pPr>
            <w:r>
              <w:rPr>
                <w:szCs w:val="21"/>
              </w:rPr>
              <w:t xml:space="preserve"> 500-1000</w:t>
            </w:r>
          </w:p>
        </w:tc>
        <w:tc>
          <w:tcPr>
            <w:tcW w:w="2628" w:type="dxa"/>
          </w:tcPr>
          <w:p>
            <w:pPr>
              <w:spacing w:line="420" w:lineRule="exact"/>
              <w:jc w:val="center"/>
              <w:rPr>
                <w:szCs w:val="21"/>
              </w:rPr>
            </w:pPr>
            <w:r>
              <w:rPr>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91" w:type="dxa"/>
          </w:tcPr>
          <w:p>
            <w:pPr>
              <w:spacing w:line="420" w:lineRule="exact"/>
              <w:jc w:val="center"/>
              <w:rPr>
                <w:szCs w:val="21"/>
              </w:rPr>
            </w:pPr>
            <w:r>
              <w:rPr>
                <w:szCs w:val="21"/>
              </w:rPr>
              <w:t>……</w:t>
            </w:r>
          </w:p>
        </w:tc>
        <w:tc>
          <w:tcPr>
            <w:tcW w:w="2628" w:type="dxa"/>
          </w:tcPr>
          <w:p>
            <w:pPr>
              <w:spacing w:line="420" w:lineRule="exact"/>
              <w:jc w:val="center"/>
              <w:rPr>
                <w:szCs w:val="21"/>
              </w:rPr>
            </w:pPr>
            <w:r>
              <w:rPr>
                <w:szCs w:val="21"/>
              </w:rPr>
              <w:t>……</w:t>
            </w:r>
          </w:p>
        </w:tc>
      </w:tr>
    </w:tbl>
    <w:p>
      <w:pPr>
        <w:spacing w:line="420" w:lineRule="exact"/>
        <w:ind w:firstLine="422" w:firstLineChars="200"/>
        <w:rPr>
          <w:b/>
          <w:bCs/>
          <w:kern w:val="0"/>
          <w:szCs w:val="21"/>
        </w:rPr>
      </w:pPr>
      <w:bookmarkStart w:id="0" w:name="OLE_LINK16"/>
      <w:r>
        <w:rPr>
          <w:b/>
          <w:bCs/>
          <w:kern w:val="0"/>
          <w:szCs w:val="21"/>
        </w:rPr>
        <w:t>8.评委费由中标单位按实支付给招标代理机构。</w:t>
      </w:r>
      <w:bookmarkEnd w:id="0"/>
    </w:p>
    <w:p>
      <w:pPr>
        <w:spacing w:line="420" w:lineRule="exact"/>
        <w:ind w:firstLine="420" w:firstLineChars="200"/>
        <w:rPr>
          <w:szCs w:val="21"/>
        </w:rPr>
      </w:pPr>
      <w:r>
        <w:rPr>
          <w:kern w:val="0"/>
          <w:szCs w:val="21"/>
        </w:rPr>
        <w:t>9.联系方式</w:t>
      </w:r>
    </w:p>
    <w:p>
      <w:pPr>
        <w:pStyle w:val="9"/>
        <w:tabs>
          <w:tab w:val="left" w:pos="525"/>
        </w:tabs>
        <w:snapToGrid w:val="0"/>
        <w:spacing w:line="420" w:lineRule="exact"/>
        <w:ind w:firstLine="0"/>
        <w:rPr>
          <w:rFonts w:ascii="Times New Roman" w:hAnsi="Times New Roman"/>
          <w:spacing w:val="0"/>
          <w:sz w:val="21"/>
          <w:szCs w:val="21"/>
        </w:rPr>
      </w:pPr>
      <w:r>
        <w:rPr>
          <w:rFonts w:ascii="Times New Roman" w:hAnsi="Times New Roman"/>
          <w:spacing w:val="0"/>
          <w:kern w:val="0"/>
          <w:sz w:val="21"/>
          <w:szCs w:val="21"/>
        </w:rPr>
        <w:tab/>
      </w:r>
      <w:r>
        <w:rPr>
          <w:rFonts w:ascii="Times New Roman" w:hAnsi="Times New Roman"/>
          <w:spacing w:val="0"/>
          <w:kern w:val="0"/>
          <w:sz w:val="21"/>
          <w:szCs w:val="21"/>
        </w:rPr>
        <w:t>（1）采购单</w:t>
      </w:r>
      <w:r>
        <w:rPr>
          <w:rFonts w:ascii="Times New Roman" w:hAnsi="Times New Roman"/>
          <w:spacing w:val="0"/>
          <w:sz w:val="21"/>
          <w:szCs w:val="21"/>
        </w:rPr>
        <w:t>位</w:t>
      </w:r>
      <w:r>
        <w:rPr>
          <w:rFonts w:ascii="Times New Roman" w:hAnsi="Times New Roman"/>
          <w:spacing w:val="0"/>
          <w:kern w:val="0"/>
          <w:sz w:val="21"/>
          <w:szCs w:val="21"/>
        </w:rPr>
        <w:t xml:space="preserve">：常州环保服务有限公司 </w:t>
      </w:r>
    </w:p>
    <w:p>
      <w:pPr>
        <w:pStyle w:val="9"/>
        <w:tabs>
          <w:tab w:val="left" w:pos="525"/>
        </w:tabs>
        <w:snapToGrid w:val="0"/>
        <w:spacing w:line="420" w:lineRule="exact"/>
        <w:ind w:firstLine="930" w:firstLineChars="443"/>
        <w:rPr>
          <w:rFonts w:hint="default" w:ascii="Times New Roman" w:hAnsi="Times New Roman" w:eastAsia="宋体"/>
          <w:spacing w:val="0"/>
          <w:sz w:val="21"/>
          <w:szCs w:val="21"/>
          <w:highlight w:val="none"/>
          <w:lang w:val="en-US" w:eastAsia="zh-CN"/>
        </w:rPr>
      </w:pPr>
      <w:r>
        <w:rPr>
          <w:rFonts w:ascii="Times New Roman" w:hAnsi="Times New Roman"/>
          <w:spacing w:val="0"/>
          <w:kern w:val="0"/>
          <w:sz w:val="21"/>
          <w:szCs w:val="21"/>
          <w:highlight w:val="none"/>
        </w:rPr>
        <w:t xml:space="preserve"> 联系人： </w:t>
      </w:r>
      <w:r>
        <w:rPr>
          <w:rFonts w:hint="eastAsia" w:ascii="Times New Roman" w:hAnsi="Times New Roman"/>
          <w:spacing w:val="0"/>
          <w:kern w:val="0"/>
          <w:sz w:val="21"/>
          <w:szCs w:val="21"/>
          <w:highlight w:val="none"/>
          <w:lang w:val="en-US" w:eastAsia="zh-CN"/>
        </w:rPr>
        <w:t>王工</w:t>
      </w:r>
      <w:r>
        <w:rPr>
          <w:rFonts w:ascii="Times New Roman" w:hAnsi="Times New Roman"/>
          <w:spacing w:val="0"/>
          <w:kern w:val="0"/>
          <w:sz w:val="21"/>
          <w:szCs w:val="21"/>
          <w:highlight w:val="none"/>
        </w:rPr>
        <w:t xml:space="preserve">       电话</w:t>
      </w:r>
      <w:r>
        <w:rPr>
          <w:rFonts w:ascii="Times New Roman" w:hAnsi="Times New Roman"/>
          <w:spacing w:val="0"/>
          <w:sz w:val="21"/>
          <w:szCs w:val="21"/>
          <w:highlight w:val="none"/>
        </w:rPr>
        <w:t>：</w:t>
      </w:r>
      <w:r>
        <w:rPr>
          <w:rFonts w:hint="eastAsia" w:ascii="Times New Roman" w:hAnsi="Times New Roman"/>
          <w:spacing w:val="0"/>
          <w:sz w:val="21"/>
          <w:szCs w:val="21"/>
          <w:highlight w:val="none"/>
          <w:lang w:val="en-US" w:eastAsia="zh-CN"/>
        </w:rPr>
        <w:t>13626248328</w:t>
      </w:r>
    </w:p>
    <w:p>
      <w:pPr>
        <w:widowControl/>
        <w:snapToGrid w:val="0"/>
        <w:spacing w:line="420" w:lineRule="exact"/>
        <w:ind w:right="-154" w:firstLine="525" w:firstLineChars="250"/>
        <w:jc w:val="left"/>
        <w:rPr>
          <w:kern w:val="0"/>
          <w:szCs w:val="21"/>
        </w:rPr>
      </w:pPr>
      <w:r>
        <w:rPr>
          <w:kern w:val="0"/>
          <w:szCs w:val="21"/>
        </w:rPr>
        <w:t>（2）采购代理机构：</w:t>
      </w:r>
      <w:r>
        <w:rPr>
          <w:szCs w:val="21"/>
        </w:rPr>
        <w:t>常州市恒卓建设工程管理咨询有限公司</w:t>
      </w:r>
    </w:p>
    <w:p>
      <w:pPr>
        <w:widowControl/>
        <w:snapToGrid w:val="0"/>
        <w:spacing w:line="420" w:lineRule="exact"/>
        <w:ind w:right="-154" w:firstLine="945" w:firstLineChars="450"/>
        <w:jc w:val="left"/>
        <w:rPr>
          <w:kern w:val="0"/>
          <w:szCs w:val="21"/>
        </w:rPr>
      </w:pPr>
      <w:r>
        <w:rPr>
          <w:kern w:val="0"/>
          <w:szCs w:val="21"/>
        </w:rPr>
        <w:t>联系人：曹工            电话：</w:t>
      </w:r>
      <w:r>
        <w:rPr>
          <w:szCs w:val="21"/>
        </w:rPr>
        <w:t>0519-83999268</w:t>
      </w:r>
    </w:p>
    <w:p>
      <w:pPr>
        <w:widowControl/>
        <w:snapToGrid w:val="0"/>
        <w:spacing w:line="420" w:lineRule="exact"/>
        <w:rPr>
          <w:b/>
          <w:bCs/>
          <w:szCs w:val="21"/>
        </w:rPr>
      </w:pPr>
      <w:r>
        <w:rPr>
          <w:b/>
          <w:bCs/>
          <w:szCs w:val="21"/>
        </w:rPr>
        <w:t>五、报价规则</w:t>
      </w:r>
    </w:p>
    <w:p>
      <w:pPr>
        <w:keepNext w:val="0"/>
        <w:keepLines w:val="0"/>
        <w:pageBreakBefore w:val="0"/>
        <w:widowControl/>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rPr>
        <w:t>本项目投标报价为</w:t>
      </w:r>
      <w:r>
        <w:rPr>
          <w:rFonts w:hint="eastAsia" w:ascii="宋体" w:hAnsi="宋体" w:eastAsia="宋体" w:cs="宋体"/>
          <w:b/>
          <w:bCs/>
          <w:kern w:val="0"/>
          <w:sz w:val="21"/>
          <w:szCs w:val="21"/>
        </w:rPr>
        <w:t>固定单价</w:t>
      </w:r>
      <w:r>
        <w:rPr>
          <w:rFonts w:hint="eastAsia" w:ascii="宋体" w:hAnsi="宋体" w:eastAsia="宋体" w:cs="宋体"/>
          <w:kern w:val="0"/>
          <w:sz w:val="21"/>
          <w:szCs w:val="21"/>
        </w:rPr>
        <w:t>，</w:t>
      </w:r>
      <w:r>
        <w:rPr>
          <w:rFonts w:hint="eastAsia" w:ascii="宋体" w:hAnsi="宋体" w:eastAsia="宋体" w:cs="宋体"/>
          <w:sz w:val="21"/>
          <w:szCs w:val="21"/>
        </w:rPr>
        <w:t>结算依据报价清单中检测样品数量、检测因子和检测方法以及付款节点按实结算。投标总价应包括招标文件所确定的招标范围相应服务的提供、人员（包括工资和补贴）、</w:t>
      </w:r>
      <w:r>
        <w:rPr>
          <w:rFonts w:hint="eastAsia" w:ascii="宋体" w:hAnsi="宋体" w:eastAsia="宋体" w:cs="宋体"/>
          <w:sz w:val="21"/>
          <w:szCs w:val="21"/>
          <w:lang w:val="en-US" w:eastAsia="zh-CN"/>
        </w:rPr>
        <w:t>质控费用、</w:t>
      </w:r>
      <w:r>
        <w:rPr>
          <w:rFonts w:hint="eastAsia" w:ascii="宋体" w:hAnsi="宋体" w:eastAsia="宋体" w:cs="宋体"/>
          <w:sz w:val="21"/>
          <w:szCs w:val="21"/>
        </w:rPr>
        <w:t>办公场所及设施、保险、劳保、管理、各种税费、利润、税金、政策性文件规定及合同包含的所有风险、责任等各项应有费用，以及为完成该项服务项目所涉及到的一切相关费用（含所有资料获取费用），招标人不再支付其他任何费用，此外还应该遵从以下原则：</w:t>
      </w:r>
    </w:p>
    <w:p>
      <w:pPr>
        <w:keepNext w:val="0"/>
        <w:keepLines w:val="0"/>
        <w:pageBreakBefore w:val="0"/>
        <w:widowControl/>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参照《江苏省环境监测专业服务管理办法》、《江苏省环境监测专业服务收费标准》（苏价费[2006]397号）和《省物价局、省财政厅关于降低收费标准和实施收费减免的通知》报价，投标人应按照表1格式提供报价单，同一样品同一种检测方法只收一次费</w:t>
      </w:r>
      <w:r>
        <w:rPr>
          <w:rFonts w:hint="eastAsia" w:ascii="宋体" w:hAnsi="宋体" w:cs="宋体"/>
          <w:sz w:val="21"/>
          <w:szCs w:val="21"/>
          <w:lang w:eastAsia="zh-CN"/>
        </w:rPr>
        <w:t>，</w:t>
      </w:r>
      <w:r>
        <w:rPr>
          <w:rFonts w:hint="eastAsia" w:ascii="宋体" w:hAnsi="宋体" w:cs="宋体"/>
          <w:sz w:val="21"/>
          <w:szCs w:val="21"/>
          <w:lang w:val="en-US" w:eastAsia="zh-CN"/>
        </w:rPr>
        <w:t>若重复报价只结算一次且以最低价为准；</w:t>
      </w:r>
      <w:r>
        <w:rPr>
          <w:rFonts w:hint="eastAsia" w:ascii="宋体" w:hAnsi="宋体" w:eastAsia="宋体" w:cs="宋体"/>
          <w:sz w:val="21"/>
          <w:szCs w:val="21"/>
        </w:rPr>
        <w:t>因子种类表格不能改动，有相同检测方法的，将后面的检测单价改为0，避免重复计算。</w:t>
      </w:r>
    </w:p>
    <w:p>
      <w:pPr>
        <w:pStyle w:val="5"/>
        <w:keepNext w:val="0"/>
        <w:keepLines w:val="0"/>
        <w:pageBreakBefore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lang w:val="en-US"/>
        </w:rPr>
      </w:pPr>
      <w:r>
        <w:rPr>
          <w:rFonts w:hint="eastAsia" w:ascii="宋体" w:hAnsi="宋体" w:eastAsia="宋体" w:cs="宋体"/>
          <w:sz w:val="21"/>
          <w:szCs w:val="21"/>
        </w:rPr>
        <w:t>2、采样人工费、报告费、税费、现场快筛</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车辆</w:t>
      </w:r>
      <w:r>
        <w:rPr>
          <w:rFonts w:hint="eastAsia" w:ascii="宋体" w:hAnsi="宋体" w:eastAsia="宋体" w:cs="宋体"/>
          <w:sz w:val="21"/>
          <w:szCs w:val="21"/>
        </w:rPr>
        <w:t>等一切费用均含在检测费中，</w:t>
      </w:r>
      <w:r>
        <w:rPr>
          <w:rFonts w:hint="eastAsia" w:ascii="宋体" w:hAnsi="宋体" w:eastAsia="宋体" w:cs="宋体"/>
          <w:b/>
          <w:bCs/>
          <w:sz w:val="21"/>
          <w:szCs w:val="21"/>
        </w:rPr>
        <w:t>检测样品平行样和空白样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以及</w:t>
      </w:r>
      <w:r>
        <w:rPr>
          <w:rFonts w:hint="eastAsia" w:ascii="宋体" w:hAnsi="宋体" w:eastAsia="宋体" w:cs="宋体"/>
          <w:b/>
          <w:bCs/>
          <w:sz w:val="21"/>
          <w:szCs w:val="21"/>
        </w:rPr>
        <w:t>其他质控样均不另行收费。</w:t>
      </w:r>
      <w:r>
        <w:rPr>
          <w:rFonts w:hint="eastAsia" w:ascii="宋体" w:hAnsi="宋体" w:eastAsia="宋体" w:cs="宋体"/>
          <w:sz w:val="21"/>
          <w:szCs w:val="21"/>
        </w:rPr>
        <w:t>如因中标单位原因发生复检，复检</w:t>
      </w:r>
      <w:r>
        <w:rPr>
          <w:rFonts w:hint="eastAsia" w:ascii="宋体" w:hAnsi="宋体" w:eastAsia="宋体" w:cs="宋体"/>
          <w:kern w:val="2"/>
          <w:sz w:val="21"/>
          <w:szCs w:val="21"/>
          <w:lang w:val="en-US" w:eastAsia="zh-CN" w:bidi="ar-SA"/>
        </w:rPr>
        <w:t>费用由中标单位承担。中标单位需委托第三方单位开展质控工作。</w:t>
      </w:r>
    </w:p>
    <w:p>
      <w:pPr>
        <w:keepNext w:val="0"/>
        <w:keepLines w:val="0"/>
        <w:pageBreakBefore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3、所有的检测因子均需要提供报价，检测方法按照国标、EPA、实验室法进行选取，自身不具备检测能力的项目可以分包其他单位承担检测任务，但是分包的样品数量不能超过总样品数量</w:t>
      </w:r>
      <w:r>
        <w:rPr>
          <w:rFonts w:hint="eastAsia" w:ascii="宋体" w:hAnsi="宋体" w:eastAsia="宋体" w:cs="宋体"/>
          <w:sz w:val="21"/>
          <w:szCs w:val="21"/>
          <w:lang w:val="en-US" w:eastAsia="zh-CN"/>
        </w:rPr>
        <w:t>1</w:t>
      </w:r>
      <w:r>
        <w:rPr>
          <w:rFonts w:hint="eastAsia" w:ascii="宋体" w:hAnsi="宋体" w:eastAsia="宋体" w:cs="宋体"/>
          <w:sz w:val="21"/>
          <w:szCs w:val="21"/>
        </w:rPr>
        <w:t>0%，分包因子需标注。</w:t>
      </w:r>
    </w:p>
    <w:p>
      <w:pPr>
        <w:keepNext w:val="0"/>
        <w:keepLines w:val="0"/>
        <w:pageBreakBefore w:val="0"/>
        <w:kinsoku/>
        <w:wordWrap/>
        <w:overflowPunct/>
        <w:topLinePunct w:val="0"/>
        <w:autoSpaceDE/>
        <w:autoSpaceDN/>
        <w:bidi w:val="0"/>
        <w:adjustRightInd w:val="0"/>
        <w:snapToGrid w:val="0"/>
        <w:spacing w:line="460" w:lineRule="exact"/>
        <w:ind w:firstLine="420" w:firstLineChars="200"/>
        <w:textAlignment w:val="auto"/>
        <w:rPr>
          <w:kern w:val="0"/>
          <w:szCs w:val="21"/>
        </w:rPr>
      </w:pPr>
      <w:r>
        <w:rPr>
          <w:rFonts w:hint="eastAsia" w:ascii="宋体" w:hAnsi="宋体" w:eastAsia="宋体" w:cs="宋体"/>
          <w:sz w:val="21"/>
          <w:szCs w:val="21"/>
          <w:lang w:val="en-US" w:eastAsia="zh-CN"/>
        </w:rPr>
        <w:t>4、按照国家和地方相关技术规范和法律规定性文件，开展环境检测工作。人居按照我方提供的检测方案，制定了本项目检测工作量及费用。本项目检测工作量清单见表1。</w:t>
      </w:r>
      <w:r>
        <w:rPr>
          <w:rFonts w:hint="eastAsia" w:ascii="宋体" w:hAnsi="宋体" w:eastAsia="宋体" w:cs="宋体"/>
          <w:color w:val="auto"/>
          <w:sz w:val="21"/>
          <w:szCs w:val="21"/>
          <w:lang w:val="en-US" w:eastAsia="zh-CN"/>
        </w:rPr>
        <w:t>采购文件提供检测方案及执行标准，投标人可根据执行标准增加样品数量，但不能低于采购人提供的样品数量。在</w:t>
      </w:r>
      <w:r>
        <w:rPr>
          <w:rFonts w:hint="eastAsia" w:ascii="宋体" w:hAnsi="宋体" w:eastAsia="宋体" w:cs="宋体"/>
          <w:sz w:val="21"/>
          <w:szCs w:val="21"/>
          <w:lang w:val="en-US" w:eastAsia="zh-CN"/>
        </w:rPr>
        <w:t>提供的检测方案基础上，采购人不再因投标人报价中样品数量增加及检测方法调整而增加相关费用。</w:t>
      </w: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eastAsia" w:ascii="宋体" w:hAnsi="宋体" w:eastAsia="宋体" w:cs="宋体"/>
          <w:b/>
          <w:bCs/>
          <w:sz w:val="21"/>
          <w:szCs w:val="21"/>
        </w:rPr>
      </w:pPr>
      <w:bookmarkStart w:id="1" w:name="_Toc322436048"/>
      <w:bookmarkStart w:id="2" w:name="_Toc322435993"/>
      <w:bookmarkStart w:id="3" w:name="_Toc322435823"/>
      <w:bookmarkStart w:id="4" w:name="_Toc322436228"/>
      <w:bookmarkStart w:id="5" w:name="_Toc331061664"/>
      <w:bookmarkStart w:id="6" w:name="_Toc330998556"/>
      <w:r>
        <w:rPr>
          <w:rFonts w:hint="eastAsia" w:ascii="宋体" w:hAnsi="宋体" w:eastAsia="宋体" w:cs="宋体"/>
          <w:b/>
          <w:bCs/>
          <w:sz w:val="21"/>
          <w:szCs w:val="21"/>
          <w:lang w:val="en-US" w:eastAsia="zh-CN"/>
        </w:rPr>
        <w:t>六</w:t>
      </w:r>
      <w:r>
        <w:rPr>
          <w:rFonts w:hint="eastAsia" w:ascii="宋体" w:hAnsi="宋体" w:eastAsia="宋体" w:cs="宋体"/>
          <w:b/>
          <w:bCs/>
          <w:sz w:val="21"/>
          <w:szCs w:val="21"/>
        </w:rPr>
        <w:t>、工作要求：</w:t>
      </w:r>
    </w:p>
    <w:p>
      <w:pPr>
        <w:pStyle w:val="5"/>
        <w:keepNext w:val="0"/>
        <w:keepLines w:val="0"/>
        <w:pageBreakBefore w:val="0"/>
        <w:widowControl w:val="0"/>
        <w:kinsoku/>
        <w:wordWrap/>
        <w:overflowPunct/>
        <w:topLinePunct w:val="0"/>
        <w:autoSpaceDE/>
        <w:autoSpaceDN/>
        <w:bidi w:val="0"/>
        <w:adjustRightInd w:val="0"/>
        <w:snapToGrid w:val="0"/>
        <w:spacing w:line="46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（一）技术要求</w:t>
      </w:r>
    </w:p>
    <w:p>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eastAsia="zh-CN"/>
        </w:rPr>
        <w:t>供应商</w:t>
      </w:r>
      <w:r>
        <w:rPr>
          <w:rFonts w:hint="eastAsia" w:ascii="宋体" w:hAnsi="宋体" w:eastAsia="宋体" w:cs="宋体"/>
          <w:sz w:val="21"/>
          <w:szCs w:val="21"/>
        </w:rPr>
        <w:t>必须按照最新的国家及地方相关法律法规开展工作，包括但不限于</w:t>
      </w:r>
      <w:r>
        <w:rPr>
          <w:rFonts w:hint="eastAsia" w:ascii="宋体" w:hAnsi="宋体" w:eastAsia="宋体" w:cs="宋体"/>
          <w:sz w:val="21"/>
          <w:szCs w:val="21"/>
          <w:lang w:val="en-US" w:eastAsia="zh-CN"/>
        </w:rPr>
        <w:t>《污染地块风险管控与土壤修复效果评估技术导则》(HJ 25.5-2018)、</w:t>
      </w:r>
      <w:r>
        <w:rPr>
          <w:rFonts w:hint="eastAsia" w:ascii="宋体" w:hAnsi="宋体" w:eastAsia="宋体" w:cs="宋体"/>
          <w:sz w:val="21"/>
          <w:szCs w:val="21"/>
        </w:rPr>
        <w:t>《地表水环境质量监测技术规范》（HJ91.2-2022）、《环境空气采样器技术要求及检测方法》（HJ/T375-2007）等相关规定。</w:t>
      </w:r>
    </w:p>
    <w:p>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2、采购人提前</w:t>
      </w:r>
      <w:r>
        <w:rPr>
          <w:rFonts w:hint="eastAsia" w:ascii="宋体" w:hAnsi="宋体" w:eastAsia="宋体" w:cs="宋体"/>
          <w:sz w:val="21"/>
          <w:szCs w:val="21"/>
          <w:lang w:val="en-US" w:eastAsia="zh-CN"/>
        </w:rPr>
        <w:t>1</w:t>
      </w:r>
      <w:r>
        <w:rPr>
          <w:rFonts w:hint="eastAsia" w:ascii="宋体" w:hAnsi="宋体" w:eastAsia="宋体" w:cs="宋体"/>
          <w:sz w:val="21"/>
          <w:szCs w:val="21"/>
        </w:rPr>
        <w:t>天发布工作方案要求进场开展工作，</w:t>
      </w:r>
      <w:r>
        <w:rPr>
          <w:rFonts w:hint="eastAsia" w:ascii="宋体" w:hAnsi="宋体" w:eastAsia="宋体" w:cs="宋体"/>
          <w:sz w:val="21"/>
          <w:szCs w:val="21"/>
          <w:lang w:eastAsia="zh-CN"/>
        </w:rPr>
        <w:t>供应商</w:t>
      </w:r>
      <w:r>
        <w:rPr>
          <w:rFonts w:hint="eastAsia" w:ascii="宋体" w:hAnsi="宋体" w:eastAsia="宋体" w:cs="宋体"/>
          <w:sz w:val="21"/>
          <w:szCs w:val="21"/>
        </w:rPr>
        <w:t>需及时响应；现场采样完成后，当日按照要求提供现场采样照片（水印相机横屏拍摄），照片内需用白板标注项目名称（明确检测介质）、样品名称、点位经纬度、工作日期、天气，每个点位拍摄照片不少于</w:t>
      </w:r>
      <w:r>
        <w:rPr>
          <w:rFonts w:hint="eastAsia" w:ascii="宋体" w:hAnsi="宋体" w:eastAsia="宋体" w:cs="宋体"/>
          <w:sz w:val="21"/>
          <w:szCs w:val="21"/>
          <w:lang w:val="en-US" w:eastAsia="zh-CN"/>
        </w:rPr>
        <w:t>2</w:t>
      </w:r>
      <w:r>
        <w:rPr>
          <w:rFonts w:hint="eastAsia" w:ascii="宋体" w:hAnsi="宋体" w:eastAsia="宋体" w:cs="宋体"/>
          <w:sz w:val="21"/>
          <w:szCs w:val="21"/>
        </w:rPr>
        <w:t>张，每日拍摄的照片按照点位名称放入各自文件夹，当天发送指定邮箱。现场</w:t>
      </w:r>
      <w:r>
        <w:rPr>
          <w:rFonts w:hint="eastAsia" w:ascii="宋体" w:hAnsi="宋体" w:eastAsia="宋体" w:cs="宋体"/>
          <w:sz w:val="21"/>
          <w:szCs w:val="21"/>
          <w:lang w:val="en-US" w:eastAsia="zh-CN"/>
        </w:rPr>
        <w:t>土壤</w:t>
      </w:r>
      <w:r>
        <w:rPr>
          <w:rFonts w:hint="eastAsia" w:ascii="宋体" w:hAnsi="宋体" w:eastAsia="宋体" w:cs="宋体"/>
          <w:sz w:val="21"/>
          <w:szCs w:val="21"/>
        </w:rPr>
        <w:t>采样记录表格参照重点行业初步采样要求执行，设计的表格需采购人先确认后再记录。现场检测仪器需提供当天仪器校正记录及相关证明材料，现场工作采样完成按要求提交现场工作类及检测数据类成果资料。</w:t>
      </w:r>
      <w:r>
        <w:rPr>
          <w:rFonts w:hint="eastAsia" w:ascii="宋体" w:hAnsi="宋体" w:eastAsia="宋体" w:cs="宋体"/>
          <w:sz w:val="21"/>
          <w:szCs w:val="21"/>
          <w:lang w:eastAsia="zh-CN"/>
        </w:rPr>
        <w:t>供应商</w:t>
      </w:r>
      <w:r>
        <w:rPr>
          <w:rFonts w:hint="eastAsia" w:ascii="宋体" w:hAnsi="宋体" w:eastAsia="宋体" w:cs="宋体"/>
          <w:sz w:val="21"/>
          <w:szCs w:val="21"/>
        </w:rPr>
        <w:t>需对现场工作资料及数据进行备份保存直至项目全部结束。</w:t>
      </w:r>
    </w:p>
    <w:p>
      <w:pPr>
        <w:keepNext w:val="0"/>
        <w:keepLines w:val="0"/>
        <w:pageBreakBefore w:val="0"/>
        <w:widowControl/>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供应商</w:t>
      </w:r>
      <w:r>
        <w:rPr>
          <w:rFonts w:hint="eastAsia" w:ascii="宋体" w:hAnsi="宋体" w:eastAsia="宋体" w:cs="宋体"/>
          <w:sz w:val="21"/>
          <w:szCs w:val="21"/>
        </w:rPr>
        <w:t>需提供质量控相关资料，对数据真实性、准确性、有效性负责（包含分包检测）。数据出现异常，及时与采购方技术人员沟通，并提供异常数据复核及复测、图谱分析等服务（包含分包检测数据）。</w:t>
      </w:r>
    </w:p>
    <w:p>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4、采样过程需满足现场二次污染防治要求，产生的洗井废水、弃土均由</w:t>
      </w:r>
      <w:r>
        <w:rPr>
          <w:rFonts w:hint="eastAsia" w:ascii="宋体" w:hAnsi="宋体" w:eastAsia="宋体" w:cs="宋体"/>
          <w:sz w:val="21"/>
          <w:szCs w:val="21"/>
          <w:lang w:eastAsia="zh-CN"/>
        </w:rPr>
        <w:t>供应商</w:t>
      </w:r>
      <w:r>
        <w:rPr>
          <w:rFonts w:hint="eastAsia" w:ascii="宋体" w:hAnsi="宋体" w:eastAsia="宋体" w:cs="宋体"/>
          <w:sz w:val="21"/>
          <w:szCs w:val="21"/>
        </w:rPr>
        <w:t>收集和合法合规处置，二次污染防治措施产生的费用由</w:t>
      </w:r>
      <w:r>
        <w:rPr>
          <w:rFonts w:hint="eastAsia" w:ascii="宋体" w:hAnsi="宋体" w:eastAsia="宋体" w:cs="宋体"/>
          <w:sz w:val="21"/>
          <w:szCs w:val="21"/>
          <w:lang w:eastAsia="zh-CN"/>
        </w:rPr>
        <w:t>供应商</w:t>
      </w:r>
      <w:r>
        <w:rPr>
          <w:rFonts w:hint="eastAsia" w:ascii="宋体" w:hAnsi="宋体" w:eastAsia="宋体" w:cs="宋体"/>
          <w:sz w:val="21"/>
          <w:szCs w:val="21"/>
        </w:rPr>
        <w:t>自行承担。</w:t>
      </w:r>
    </w:p>
    <w:p>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eastAsia="zh-CN"/>
        </w:rPr>
        <w:t>供应商</w:t>
      </w:r>
      <w:r>
        <w:rPr>
          <w:rFonts w:hint="eastAsia" w:ascii="宋体" w:hAnsi="宋体" w:eastAsia="宋体" w:cs="宋体"/>
          <w:sz w:val="21"/>
          <w:szCs w:val="21"/>
        </w:rPr>
        <w:t>应配备专门的现场技术负责人及实验室技术负责人，现场采样期间需每天向采购人上报当日采样工作量，配合采购人开展检测工作量</w:t>
      </w:r>
      <w:r>
        <w:rPr>
          <w:rFonts w:hint="eastAsia" w:ascii="宋体" w:hAnsi="宋体" w:eastAsia="宋体" w:cs="宋体"/>
          <w:sz w:val="21"/>
          <w:szCs w:val="21"/>
          <w:lang w:val="en-US" w:eastAsia="zh-CN"/>
        </w:rPr>
        <w:t>核实</w:t>
      </w:r>
      <w:r>
        <w:rPr>
          <w:rFonts w:hint="eastAsia" w:ascii="宋体" w:hAnsi="宋体" w:eastAsia="宋体" w:cs="宋体"/>
          <w:sz w:val="21"/>
          <w:szCs w:val="21"/>
        </w:rPr>
        <w:t>工作。现场采样过程中有出现需调整的检测内容，修改内容当日形成书面内容（或电子文档）汇报，并统一整理成专项记录以备查。</w:t>
      </w:r>
    </w:p>
    <w:p>
      <w:pPr>
        <w:keepNext w:val="0"/>
        <w:keepLines w:val="0"/>
        <w:pageBreakBefore w:val="0"/>
        <w:widowControl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6、发现</w:t>
      </w:r>
      <w:r>
        <w:rPr>
          <w:rFonts w:hint="eastAsia" w:ascii="宋体" w:hAnsi="宋体" w:eastAsia="宋体" w:cs="宋体"/>
          <w:sz w:val="21"/>
          <w:szCs w:val="21"/>
          <w:lang w:eastAsia="zh-CN"/>
        </w:rPr>
        <w:t>供应商</w:t>
      </w:r>
      <w:r>
        <w:rPr>
          <w:rFonts w:hint="eastAsia" w:ascii="宋体" w:hAnsi="宋体" w:eastAsia="宋体" w:cs="宋体"/>
          <w:sz w:val="21"/>
          <w:szCs w:val="21"/>
        </w:rPr>
        <w:t>现场采样、检测等相关工作弄虚作假，不符合规范要求，则将对其该批次工作全部不予认可，并将追究相关责任，赔偿采购人损失，通过采购人认可后方可进入现场进行重新工作。</w:t>
      </w:r>
    </w:p>
    <w:p>
      <w:pPr>
        <w:pStyle w:val="5"/>
        <w:keepNext w:val="0"/>
        <w:keepLines w:val="0"/>
        <w:pageBreakBefore w:val="0"/>
        <w:kinsoku/>
        <w:wordWrap/>
        <w:overflowPunct/>
        <w:topLinePunct w:val="0"/>
        <w:autoSpaceDE/>
        <w:autoSpaceDN/>
        <w:bidi w:val="0"/>
        <w:adjustRightInd w:val="0"/>
        <w:snapToGrid w:val="0"/>
        <w:spacing w:line="46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（二）成果资料清单及提交时限</w:t>
      </w:r>
    </w:p>
    <w:p>
      <w:pPr>
        <w:keepNext w:val="0"/>
        <w:keepLines w:val="0"/>
        <w:pageBreakBefore w:val="0"/>
        <w:kinsoku/>
        <w:wordWrap/>
        <w:overflowPunct/>
        <w:topLinePunct w:val="0"/>
        <w:autoSpaceDE/>
        <w:autoSpaceDN/>
        <w:bidi w:val="0"/>
        <w:adjustRightInd w:val="0"/>
        <w:snapToGrid w:val="0"/>
        <w:spacing w:line="46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1、现场工作类</w:t>
      </w:r>
    </w:p>
    <w:p>
      <w:pPr>
        <w:keepNext w:val="0"/>
        <w:keepLines w:val="0"/>
        <w:pageBreakBefore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（1）采样当日按要求（详见技术要求）提交现场照片。</w:t>
      </w:r>
    </w:p>
    <w:p>
      <w:pPr>
        <w:keepNext w:val="0"/>
        <w:keepLines w:val="0"/>
        <w:pageBreakBefore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（2）采样完成后5日内提供采样记录单、现场检测仪器校准单、现场检测记录单等材料（3份纸质版及1份电子版）。</w:t>
      </w:r>
    </w:p>
    <w:p>
      <w:pPr>
        <w:keepNext w:val="0"/>
        <w:keepLines w:val="0"/>
        <w:pageBreakBefore w:val="0"/>
        <w:kinsoku/>
        <w:wordWrap/>
        <w:overflowPunct/>
        <w:topLinePunct w:val="0"/>
        <w:autoSpaceDE/>
        <w:autoSpaceDN/>
        <w:bidi w:val="0"/>
        <w:adjustRightInd w:val="0"/>
        <w:snapToGrid w:val="0"/>
        <w:spacing w:line="46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2、检测数据类</w:t>
      </w:r>
    </w:p>
    <w:p>
      <w:pPr>
        <w:keepNext w:val="0"/>
        <w:keepLines w:val="0"/>
        <w:pageBreakBefore w:val="0"/>
        <w:widowControl/>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（1）采样当日提交电子版COC单。</w:t>
      </w:r>
    </w:p>
    <w:p>
      <w:pPr>
        <w:keepNext w:val="0"/>
        <w:keepLines w:val="0"/>
        <w:pageBreakBefore w:val="0"/>
        <w:widowControl/>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（2）现场采样结束后</w:t>
      </w:r>
      <w:r>
        <w:rPr>
          <w:rFonts w:hint="eastAsia" w:ascii="宋体" w:hAnsi="宋体" w:eastAsia="宋体" w:cs="宋体"/>
          <w:sz w:val="21"/>
          <w:szCs w:val="21"/>
          <w:lang w:val="en-US" w:eastAsia="zh-CN"/>
        </w:rPr>
        <w:t>5</w:t>
      </w:r>
      <w:r>
        <w:rPr>
          <w:rFonts w:hint="eastAsia" w:ascii="宋体" w:hAnsi="宋体" w:eastAsia="宋体" w:cs="宋体"/>
          <w:sz w:val="21"/>
          <w:szCs w:val="21"/>
        </w:rPr>
        <w:t>日内需提供盖章COC单（原件）及所有样品excel数据检测表（与正式报告一致），excel表格中检测结果数据需使用与标准一致的单位且不得使用科学计数法，检测因子需标明CAS号，检测因子顺序需严格按照采购人给出的因子顺序表，否则工作量不予认可。</w:t>
      </w:r>
    </w:p>
    <w:p>
      <w:pPr>
        <w:keepNext w:val="0"/>
        <w:keepLines w:val="0"/>
        <w:pageBreakBefore w:val="0"/>
        <w:widowControl/>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（3）现场采样结束后</w:t>
      </w:r>
      <w:r>
        <w:rPr>
          <w:rFonts w:hint="eastAsia" w:ascii="宋体" w:hAnsi="宋体" w:eastAsia="宋体" w:cs="宋体"/>
          <w:sz w:val="21"/>
          <w:szCs w:val="21"/>
          <w:lang w:val="en-US" w:eastAsia="zh-CN"/>
        </w:rPr>
        <w:t>7</w:t>
      </w:r>
      <w:r>
        <w:rPr>
          <w:rFonts w:hint="eastAsia" w:ascii="宋体" w:hAnsi="宋体" w:eastAsia="宋体" w:cs="宋体"/>
          <w:sz w:val="21"/>
          <w:szCs w:val="21"/>
        </w:rPr>
        <w:t>日内需提供正式盖章纸质报告（3份纸质版及1份电子版）。提供数据质控分析报告，包含质控数据汇总表（质控类型、样品数量、质控结果、达标情况等）及文字表述（质控数据是否达标、现场送检的平行样相对偏差是否满足要求等）。</w:t>
      </w:r>
    </w:p>
    <w:p>
      <w:pPr>
        <w:keepNext w:val="0"/>
        <w:keepLines w:val="0"/>
        <w:pageBreakBefore w:val="0"/>
        <w:widowControl/>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en-US" w:eastAsia="zh-CN"/>
        </w:rPr>
        <w:t>除土壤检测外，其他二次污染检测报告应根据执行标准进行评价</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（5）资料提交进度滞后，造成</w:t>
      </w:r>
      <w:r>
        <w:rPr>
          <w:rFonts w:hint="eastAsia" w:ascii="宋体" w:hAnsi="宋体" w:eastAsia="宋体" w:cs="宋体"/>
          <w:sz w:val="21"/>
          <w:szCs w:val="21"/>
          <w:lang w:eastAsia="zh-CN"/>
        </w:rPr>
        <w:t>采购人</w:t>
      </w:r>
      <w:r>
        <w:rPr>
          <w:rFonts w:hint="eastAsia" w:ascii="宋体" w:hAnsi="宋体" w:eastAsia="宋体" w:cs="宋体"/>
          <w:sz w:val="21"/>
          <w:szCs w:val="21"/>
        </w:rPr>
        <w:t>损失的，将会追究</w:t>
      </w:r>
      <w:r>
        <w:rPr>
          <w:rFonts w:hint="eastAsia" w:ascii="宋体" w:hAnsi="宋体" w:eastAsia="宋体" w:cs="宋体"/>
          <w:sz w:val="21"/>
          <w:szCs w:val="21"/>
          <w:lang w:eastAsia="zh-CN"/>
        </w:rPr>
        <w:t>供应商</w:t>
      </w:r>
      <w:r>
        <w:rPr>
          <w:rFonts w:hint="eastAsia" w:ascii="宋体" w:hAnsi="宋体" w:eastAsia="宋体" w:cs="宋体"/>
          <w:sz w:val="21"/>
          <w:szCs w:val="21"/>
        </w:rPr>
        <w:t>相应责任。</w:t>
      </w:r>
    </w:p>
    <w:p>
      <w:pPr>
        <w:keepNext w:val="0"/>
        <w:keepLines w:val="0"/>
        <w:pageBreakBefore w:val="0"/>
        <w:kinsoku/>
        <w:wordWrap/>
        <w:overflowPunct/>
        <w:topLinePunct w:val="0"/>
        <w:autoSpaceDE/>
        <w:autoSpaceDN/>
        <w:bidi w:val="0"/>
        <w:adjustRightInd w:val="0"/>
        <w:snapToGrid w:val="0"/>
        <w:spacing w:line="460" w:lineRule="exac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七</w:t>
      </w:r>
      <w:r>
        <w:rPr>
          <w:rFonts w:hint="eastAsia" w:ascii="宋体" w:hAnsi="宋体" w:eastAsia="宋体" w:cs="宋体"/>
          <w:b/>
          <w:bCs/>
          <w:sz w:val="21"/>
          <w:szCs w:val="21"/>
        </w:rPr>
        <w:t>、保密要求：</w:t>
      </w:r>
    </w:p>
    <w:p>
      <w:pPr>
        <w:keepNext w:val="0"/>
        <w:keepLines w:val="0"/>
        <w:pageBreakBefore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1、成交供应商负责对采购人所提供资料及最终成果保密，成交供应商及其专业技术人员需遵守采购人的保密规定，不以任何形式将收集的所有资料、数据等进行泄漏、传播；</w:t>
      </w:r>
    </w:p>
    <w:p>
      <w:pPr>
        <w:keepNext w:val="0"/>
        <w:keepLines w:val="0"/>
        <w:pageBreakBefore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2、项目成果所有权归属采购人，在项目完成时成交供应商必须全部移交，不得以任何形式公开项目信息；</w:t>
      </w:r>
    </w:p>
    <w:p>
      <w:pPr>
        <w:keepNext w:val="0"/>
        <w:keepLines w:val="0"/>
        <w:pageBreakBefore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3、成交供应商须维护项目服务成果，不得转让给第三方重复使用；</w:t>
      </w:r>
    </w:p>
    <w:p>
      <w:pPr>
        <w:keepNext w:val="0"/>
        <w:keepLines w:val="0"/>
        <w:pageBreakBefore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4、以上保密规定如有违反，采购人有权追究成交供应商相关法律责任并有权不进行费用结算。</w:t>
      </w:r>
    </w:p>
    <w:p>
      <w:pPr>
        <w:keepNext w:val="0"/>
        <w:keepLines w:val="0"/>
        <w:pageBreakBefore w:val="0"/>
        <w:kinsoku/>
        <w:wordWrap/>
        <w:overflowPunct/>
        <w:topLinePunct w:val="0"/>
        <w:autoSpaceDE/>
        <w:autoSpaceDN/>
        <w:bidi w:val="0"/>
        <w:adjustRightInd w:val="0"/>
        <w:snapToGrid w:val="0"/>
        <w:spacing w:line="460" w:lineRule="exact"/>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八、履约保证金</w:t>
      </w:r>
    </w:p>
    <w:p>
      <w:pPr>
        <w:keepNext w:val="0"/>
        <w:keepLines w:val="0"/>
        <w:pageBreakBefore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中标人应在拿到中标通知书后签订合同前向采购人</w:t>
      </w:r>
      <w:r>
        <w:rPr>
          <w:rFonts w:hint="eastAsia" w:ascii="宋体" w:hAnsi="宋体" w:cs="宋体"/>
          <w:sz w:val="21"/>
          <w:szCs w:val="21"/>
          <w:lang w:val="en-US" w:eastAsia="zh-CN"/>
        </w:rPr>
        <w:t>缴纳</w:t>
      </w:r>
      <w:r>
        <w:rPr>
          <w:rFonts w:hint="eastAsia" w:ascii="宋体" w:hAnsi="宋体" w:eastAsia="宋体" w:cs="宋体"/>
          <w:sz w:val="21"/>
          <w:szCs w:val="21"/>
          <w:lang w:val="en-US" w:eastAsia="zh-CN"/>
        </w:rPr>
        <w:t>中标价格的10%的履约保证金，并注明该项目的履约保证金。合同履约完成后无息退还。</w:t>
      </w:r>
    </w:p>
    <w:p>
      <w:pPr>
        <w:keepNext w:val="0"/>
        <w:keepLines w:val="0"/>
        <w:pageBreakBefore w:val="0"/>
        <w:kinsoku/>
        <w:wordWrap/>
        <w:overflowPunct/>
        <w:topLinePunct w:val="0"/>
        <w:autoSpaceDE/>
        <w:autoSpaceDN/>
        <w:bidi w:val="0"/>
        <w:adjustRightInd w:val="0"/>
        <w:snapToGrid w:val="0"/>
        <w:spacing w:line="460" w:lineRule="exac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七</w:t>
      </w:r>
      <w:r>
        <w:rPr>
          <w:rFonts w:hint="eastAsia" w:ascii="宋体" w:hAnsi="宋体" w:eastAsia="宋体" w:cs="宋体"/>
          <w:b/>
          <w:bCs/>
          <w:sz w:val="21"/>
          <w:szCs w:val="21"/>
        </w:rPr>
        <w:t>、付款方式</w:t>
      </w:r>
    </w:p>
    <w:p>
      <w:pPr>
        <w:keepNext w:val="0"/>
        <w:keepLines w:val="0"/>
        <w:pageBreakBefore w:val="0"/>
        <w:kinsoku/>
        <w:wordWrap/>
        <w:overflowPunct/>
        <w:topLinePunct w:val="0"/>
        <w:autoSpaceDE/>
        <w:autoSpaceDN/>
        <w:bidi w:val="0"/>
        <w:adjustRightInd w:val="0"/>
        <w:snapToGrid w:val="0"/>
        <w:spacing w:line="4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供应商按合同完成全部工作并提供检测报告及质控报告（盖章件），检测工作全部完成，修复项目通过市生态环境局</w:t>
      </w:r>
      <w:r>
        <w:rPr>
          <w:rFonts w:hint="eastAsia" w:ascii="宋体" w:hAnsi="宋体" w:eastAsia="宋体" w:cs="宋体"/>
          <w:color w:val="auto"/>
          <w:sz w:val="21"/>
          <w:szCs w:val="21"/>
          <w:lang w:val="en-US" w:eastAsia="zh-CN"/>
        </w:rPr>
        <w:t>初审取得初审意见且具备结算条件后支付80%，剩余费用在修复项目取得省生态环境厅效果评估备案意见后6个月</w:t>
      </w:r>
      <w:r>
        <w:rPr>
          <w:rFonts w:hint="eastAsia" w:ascii="宋体" w:hAnsi="宋体" w:eastAsia="宋体" w:cs="宋体"/>
          <w:sz w:val="21"/>
          <w:szCs w:val="21"/>
          <w:lang w:val="en-US" w:eastAsia="zh-CN"/>
        </w:rPr>
        <w:t>内支付，采购人以支票、现金或银行转账等方式支付。超出报价清单工作范围的工作内容在发生前需与采购人协商签订补充合同，但所有补充合同的采购总金额不超过本合同金额的10%。未签订补充合同的不予结算。</w:t>
      </w:r>
    </w:p>
    <w:p>
      <w:pPr>
        <w:keepNext w:val="0"/>
        <w:keepLines w:val="0"/>
        <w:pageBreakBefore w:val="0"/>
        <w:kinsoku/>
        <w:wordWrap/>
        <w:overflowPunct/>
        <w:topLinePunct w:val="0"/>
        <w:autoSpaceDE/>
        <w:autoSpaceDN/>
        <w:bidi w:val="0"/>
        <w:adjustRightInd w:val="0"/>
        <w:snapToGrid w:val="0"/>
        <w:spacing w:line="460" w:lineRule="exact"/>
        <w:textAlignment w:val="auto"/>
        <w:rPr>
          <w:rFonts w:hint="eastAsia" w:ascii="宋体" w:hAnsi="宋体" w:eastAsia="宋体" w:cs="宋体"/>
          <w:b/>
          <w:bCs/>
          <w:sz w:val="21"/>
          <w:szCs w:val="21"/>
        </w:rPr>
      </w:pPr>
      <w:r>
        <w:rPr>
          <w:rFonts w:hint="eastAsia" w:ascii="宋体" w:hAnsi="宋体" w:eastAsia="宋体" w:cs="宋体"/>
          <w:b/>
          <w:bCs/>
          <w:sz w:val="21"/>
          <w:szCs w:val="21"/>
          <w:lang w:val="en-US" w:eastAsia="zh-CN"/>
        </w:rPr>
        <w:t>八</w:t>
      </w:r>
      <w:r>
        <w:rPr>
          <w:rFonts w:hint="eastAsia" w:ascii="宋体" w:hAnsi="宋体" w:eastAsia="宋体" w:cs="宋体"/>
          <w:b/>
          <w:bCs/>
          <w:sz w:val="21"/>
          <w:szCs w:val="21"/>
        </w:rPr>
        <w:t>、采购内容</w:t>
      </w:r>
    </w:p>
    <w:p>
      <w:pPr>
        <w:keepNext w:val="0"/>
        <w:keepLines w:val="0"/>
        <w:pageBreakBefore w:val="0"/>
        <w:widowControl/>
        <w:kinsoku/>
        <w:wordWrap/>
        <w:overflowPunct/>
        <w:topLinePunct w:val="0"/>
        <w:autoSpaceDE/>
        <w:autoSpaceDN/>
        <w:bidi w:val="0"/>
        <w:adjustRightInd w:val="0"/>
        <w:snapToGrid w:val="0"/>
        <w:spacing w:line="4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按照国家和地方相关技术规范和法律规定性文件，开展本地块环境检测工作。项目根据施工进度分批次进场采样，每次采购方将提供检测方案及执行标准，投标人按照采购方提供的检测方案开展现场检测，并根据采购人提供的执行标准评价。本地块检测清单见表1。投标人可根据检测方法等增加样品数量，但不能低于采购人提供的样品数量。在提供的检测方案基础上，采购人不再因投标人报价中样品数量增加及检测方法调整而增加相关费用。</w:t>
      </w:r>
    </w:p>
    <w:p>
      <w:pPr>
        <w:spacing w:line="240" w:lineRule="auto"/>
        <w:jc w:val="center"/>
        <w:rPr>
          <w:rFonts w:hint="eastAsia" w:ascii="宋体" w:hAnsi="宋体" w:eastAsia="宋体" w:cs="宋体"/>
          <w:b/>
          <w:bCs/>
          <w:sz w:val="21"/>
          <w:szCs w:val="21"/>
          <w:highlight w:val="none"/>
          <w:lang w:val="en-US" w:eastAsia="zh-CN"/>
        </w:rPr>
      </w:pPr>
      <w:r>
        <w:rPr>
          <w:rFonts w:hint="eastAsia" w:ascii="宋体" w:hAnsi="宋体" w:eastAsia="宋体" w:cs="宋体"/>
          <w:b/>
          <w:bCs/>
          <w:color w:val="auto"/>
          <w:sz w:val="21"/>
          <w:szCs w:val="21"/>
          <w:lang w:val="en-US" w:eastAsia="zh-CN"/>
        </w:rPr>
        <w:t xml:space="preserve">表1 </w:t>
      </w:r>
      <w:r>
        <w:rPr>
          <w:rFonts w:hint="eastAsia" w:ascii="宋体" w:hAnsi="宋体" w:eastAsia="宋体" w:cs="宋体"/>
          <w:b/>
          <w:bCs/>
          <w:color w:val="auto"/>
          <w:sz w:val="21"/>
          <w:szCs w:val="21"/>
          <w:lang w:eastAsia="zh-CN"/>
        </w:rPr>
        <w:t xml:space="preserve"> </w:t>
      </w:r>
      <w:r>
        <w:rPr>
          <w:rFonts w:hint="eastAsia" w:ascii="宋体" w:hAnsi="宋体" w:eastAsia="宋体" w:cs="宋体"/>
          <w:b/>
          <w:bCs/>
          <w:color w:val="auto"/>
          <w:sz w:val="21"/>
          <w:szCs w:val="21"/>
          <w:lang w:val="en-US" w:eastAsia="zh-CN"/>
        </w:rPr>
        <w:t>本地块</w:t>
      </w:r>
      <w:r>
        <w:rPr>
          <w:rFonts w:hint="eastAsia" w:ascii="宋体" w:hAnsi="宋体" w:eastAsia="宋体" w:cs="宋体"/>
          <w:b/>
          <w:bCs/>
          <w:color w:val="auto"/>
          <w:sz w:val="21"/>
          <w:szCs w:val="21"/>
          <w:lang w:eastAsia="zh-CN"/>
        </w:rPr>
        <w:t>环境监测</w:t>
      </w:r>
      <w:r>
        <w:rPr>
          <w:rFonts w:hint="eastAsia" w:ascii="宋体" w:hAnsi="宋体" w:eastAsia="宋体" w:cs="宋体"/>
          <w:b/>
          <w:bCs/>
          <w:color w:val="auto"/>
          <w:sz w:val="21"/>
          <w:szCs w:val="21"/>
          <w:lang w:val="en-US" w:eastAsia="zh-CN"/>
        </w:rPr>
        <w:t>及清挖效果检测方案</w:t>
      </w:r>
    </w:p>
    <w:tbl>
      <w:tblPr>
        <w:tblStyle w:val="23"/>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03"/>
        <w:gridCol w:w="2848"/>
        <w:gridCol w:w="1399"/>
        <w:gridCol w:w="1246"/>
        <w:gridCol w:w="15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1192" w:type="pc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检测对象</w:t>
            </w:r>
          </w:p>
        </w:tc>
        <w:tc>
          <w:tcPr>
            <w:tcW w:w="1541" w:type="pct"/>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检测因子</w:t>
            </w:r>
          </w:p>
        </w:tc>
        <w:tc>
          <w:tcPr>
            <w:tcW w:w="757" w:type="pc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点位</w:t>
            </w:r>
          </w:p>
        </w:tc>
        <w:tc>
          <w:tcPr>
            <w:tcW w:w="674" w:type="pc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频次</w:t>
            </w:r>
          </w:p>
        </w:tc>
        <w:tc>
          <w:tcPr>
            <w:tcW w:w="834" w:type="pct"/>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样品数量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本底：厂界无组织、敏感点大气（施工前、后）</w:t>
            </w: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SO</w:t>
            </w:r>
            <w:r>
              <w:rPr>
                <w:rFonts w:hint="eastAsia" w:ascii="宋体" w:hAnsi="宋体" w:eastAsia="宋体" w:cs="宋体"/>
                <w:i w:val="0"/>
                <w:iCs w:val="0"/>
                <w:color w:val="000000"/>
                <w:kern w:val="0"/>
                <w:sz w:val="21"/>
                <w:szCs w:val="21"/>
                <w:u w:val="none"/>
                <w:vertAlign w:val="subscript"/>
                <w:lang w:val="en-US" w:eastAsia="zh-CN" w:bidi="ar"/>
              </w:rPr>
              <w:t>2</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一氧化碳</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臭氧</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PM10</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PM2.5</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TSP</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NOx</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非甲烷总烃</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臭气浓度</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萘</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9"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Style w:val="113"/>
                <w:rFonts w:hint="eastAsia" w:ascii="宋体" w:hAnsi="宋体" w:eastAsia="宋体" w:cs="宋体"/>
                <w:sz w:val="21"/>
                <w:szCs w:val="21"/>
                <w:lang w:val="en-US" w:eastAsia="zh-CN" w:bidi="ar"/>
              </w:rPr>
              <w:t>，</w:t>
            </w: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三氯乙烷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Style w:val="113"/>
                <w:rFonts w:hint="eastAsia" w:ascii="宋体" w:hAnsi="宋体" w:eastAsia="宋体" w:cs="宋体"/>
                <w:sz w:val="21"/>
                <w:szCs w:val="21"/>
                <w:lang w:val="en-US" w:eastAsia="zh-CN" w:bidi="ar"/>
              </w:rPr>
              <w:t>，</w:t>
            </w:r>
            <w:r>
              <w:rPr>
                <w:rFonts w:hint="eastAsia" w:ascii="宋体" w:hAnsi="宋体" w:eastAsia="宋体" w:cs="宋体"/>
                <w:i w:val="0"/>
                <w:iCs w:val="0"/>
                <w:color w:val="000000"/>
                <w:kern w:val="0"/>
                <w:sz w:val="21"/>
                <w:szCs w:val="21"/>
                <w:u w:val="none"/>
                <w:lang w:val="en-US" w:eastAsia="zh-CN" w:bidi="ar"/>
              </w:rPr>
              <w:t>2</w:t>
            </w:r>
            <w:r>
              <w:rPr>
                <w:rStyle w:val="113"/>
                <w:rFonts w:hint="eastAsia" w:ascii="宋体" w:hAnsi="宋体" w:eastAsia="宋体" w:cs="宋体"/>
                <w:sz w:val="21"/>
                <w:szCs w:val="21"/>
                <w:lang w:val="en-US" w:eastAsia="zh-CN" w:bidi="ar"/>
              </w:rPr>
              <w:t>二氯乙烷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苯并(a)</w:t>
            </w:r>
            <w:r>
              <w:rPr>
                <w:rStyle w:val="113"/>
                <w:rFonts w:hint="eastAsia" w:ascii="宋体" w:hAnsi="宋体" w:eastAsia="宋体" w:cs="宋体"/>
                <w:sz w:val="21"/>
                <w:szCs w:val="21"/>
                <w:lang w:val="en-US" w:eastAsia="zh-CN" w:bidi="ar"/>
              </w:rPr>
              <w:t>芘</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施工期二次污染：有组织废气</w:t>
            </w: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SO</w:t>
            </w:r>
            <w:r>
              <w:rPr>
                <w:rFonts w:hint="eastAsia" w:ascii="宋体" w:hAnsi="宋体" w:eastAsia="宋体" w:cs="宋体"/>
                <w:i w:val="0"/>
                <w:iCs w:val="0"/>
                <w:color w:val="000000"/>
                <w:kern w:val="0"/>
                <w:sz w:val="21"/>
                <w:szCs w:val="21"/>
                <w:u w:val="none"/>
                <w:vertAlign w:val="subscript"/>
                <w:lang w:val="en-US" w:eastAsia="zh-CN" w:bidi="ar"/>
              </w:rPr>
              <w:t>2</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一氧化碳</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NOx</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非甲烷总烃</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臭气浓度</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萘</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1，1,2-三氯乙烷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1，2二氯乙烷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苯并</w:t>
            </w:r>
            <w:r>
              <w:rPr>
                <w:rFonts w:hint="eastAsia" w:ascii="宋体" w:hAnsi="宋体" w:eastAsia="宋体" w:cs="宋体"/>
                <w:i w:val="0"/>
                <w:iCs w:val="0"/>
                <w:color w:val="000000"/>
                <w:kern w:val="0"/>
                <w:sz w:val="21"/>
                <w:szCs w:val="21"/>
                <w:u w:val="none"/>
                <w:lang w:val="en-US" w:eastAsia="zh-CN" w:bidi="ar"/>
              </w:rPr>
              <w:t>(a)</w:t>
            </w:r>
            <w:r>
              <w:rPr>
                <w:rStyle w:val="113"/>
                <w:rFonts w:hint="eastAsia" w:ascii="宋体" w:hAnsi="宋体" w:eastAsia="宋体" w:cs="宋体"/>
                <w:sz w:val="21"/>
                <w:szCs w:val="21"/>
                <w:lang w:val="en-US" w:eastAsia="zh-CN" w:bidi="ar"/>
              </w:rPr>
              <w:t>芘</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施工期二次污染：厂界无组织、敏感点大气</w:t>
            </w: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SO</w:t>
            </w:r>
            <w:r>
              <w:rPr>
                <w:rFonts w:hint="eastAsia" w:ascii="宋体" w:hAnsi="宋体" w:eastAsia="宋体" w:cs="宋体"/>
                <w:i w:val="0"/>
                <w:iCs w:val="0"/>
                <w:color w:val="000000"/>
                <w:kern w:val="0"/>
                <w:sz w:val="21"/>
                <w:szCs w:val="21"/>
                <w:u w:val="none"/>
                <w:vertAlign w:val="subscript"/>
                <w:lang w:val="en-US" w:eastAsia="zh-CN" w:bidi="ar"/>
              </w:rPr>
              <w:t>2</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一氧化碳</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臭氧</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PM10</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PM2.5</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TSP</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NOx</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非甲烷总烃</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臭气浓度</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萘</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9"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1，1,2-三氯乙烷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1，2二氯乙烷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苯并</w:t>
            </w:r>
            <w:r>
              <w:rPr>
                <w:rFonts w:hint="eastAsia" w:ascii="宋体" w:hAnsi="宋体" w:eastAsia="宋体" w:cs="宋体"/>
                <w:i w:val="0"/>
                <w:iCs w:val="0"/>
                <w:color w:val="000000"/>
                <w:kern w:val="0"/>
                <w:sz w:val="21"/>
                <w:szCs w:val="21"/>
                <w:u w:val="none"/>
                <w:lang w:val="en-US" w:eastAsia="zh-CN" w:bidi="ar"/>
              </w:rPr>
              <w:t>(a)</w:t>
            </w:r>
            <w:r>
              <w:rPr>
                <w:rStyle w:val="113"/>
                <w:rFonts w:hint="eastAsia" w:ascii="宋体" w:hAnsi="宋体" w:eastAsia="宋体" w:cs="宋体"/>
                <w:sz w:val="21"/>
                <w:szCs w:val="21"/>
                <w:lang w:val="en-US" w:eastAsia="zh-CN" w:bidi="ar"/>
              </w:rPr>
              <w:t>芘</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tcBorders>
              <w:top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本底：噪声</w:t>
            </w: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192" w:type="pct"/>
            <w:tcBorders>
              <w:top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施工期二次污染：噪声</w:t>
            </w: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本底：周边地表水</w:t>
            </w: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COD</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氨氮</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总氮</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1，1,2-三氯乙烷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r>
              <w:rPr>
                <w:rStyle w:val="113"/>
                <w:rFonts w:hint="eastAsia" w:ascii="宋体" w:hAnsi="宋体" w:eastAsia="宋体" w:cs="宋体"/>
                <w:sz w:val="21"/>
                <w:szCs w:val="21"/>
                <w:lang w:val="en-US" w:eastAsia="zh-CN" w:bidi="ar"/>
              </w:rPr>
              <w:t>二氯乙烯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施工期二次污染：周边地表水</w:t>
            </w: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COD</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氨氮</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总氮</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1，1,2-三氯乙烷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r>
              <w:rPr>
                <w:rStyle w:val="113"/>
                <w:rFonts w:hint="eastAsia" w:ascii="宋体" w:hAnsi="宋体" w:eastAsia="宋体" w:cs="宋体"/>
                <w:sz w:val="21"/>
                <w:szCs w:val="21"/>
                <w:lang w:val="en-US" w:eastAsia="zh-CN" w:bidi="ar"/>
              </w:rPr>
              <w:t>二氯乙烯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restart"/>
            <w:tcBorders>
              <w:top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本底：地下水</w:t>
            </w: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萘</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乙苯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r>
              <w:rPr>
                <w:rStyle w:val="113"/>
                <w:rFonts w:hint="eastAsia" w:ascii="宋体" w:hAnsi="宋体" w:eastAsia="宋体" w:cs="宋体"/>
                <w:sz w:val="21"/>
                <w:szCs w:val="21"/>
                <w:lang w:val="en-US" w:eastAsia="zh-CN" w:bidi="ar"/>
              </w:rPr>
              <w:t>三氯乙烷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氯乙烯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restart"/>
            <w:tcBorders>
              <w:top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施工期二次污染：地下水</w:t>
            </w: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萘</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乙苯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r>
              <w:rPr>
                <w:rStyle w:val="113"/>
                <w:rFonts w:hint="eastAsia" w:ascii="宋体" w:hAnsi="宋体" w:eastAsia="宋体" w:cs="宋体"/>
                <w:sz w:val="21"/>
                <w:szCs w:val="21"/>
                <w:lang w:val="en-US" w:eastAsia="zh-CN" w:bidi="ar"/>
              </w:rPr>
              <w:t>三氯乙烷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氯乙烯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废水预处理设施出水</w:t>
            </w: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COD</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SS</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氨氮</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总氮</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萘</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乙苯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r>
              <w:rPr>
                <w:rStyle w:val="113"/>
                <w:rFonts w:hint="eastAsia" w:ascii="宋体" w:hAnsi="宋体" w:eastAsia="宋体" w:cs="宋体"/>
                <w:sz w:val="21"/>
                <w:szCs w:val="21"/>
                <w:lang w:val="en-US" w:eastAsia="zh-CN" w:bidi="ar"/>
              </w:rPr>
              <w:t>三氯乙烷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氯乙烯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苯并(a)芘</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834"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restart"/>
            <w:tcBorders>
              <w:top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土壤清挖效果</w:t>
            </w: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3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3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1,2-二氯乙烷</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3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苯并(a)芘</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3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192" w:type="pct"/>
            <w:vMerge w:val="continue"/>
            <w:tcBorders>
              <w:top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萘</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3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1192" w:type="pct"/>
            <w:vMerge w:val="continue"/>
            <w:tcBorders>
              <w:top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541" w:type="pc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二(2-氯乙基)醚</w:t>
            </w:r>
          </w:p>
        </w:tc>
        <w:tc>
          <w:tcPr>
            <w:tcW w:w="757" w:type="pc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74" w:type="pc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834" w:type="pct"/>
            <w:tcBorders>
              <w:top w:val="single" w:color="000000" w:sz="4" w:space="0"/>
              <w:lef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r>
    </w:tbl>
    <w:p>
      <w:pPr>
        <w:pStyle w:val="9"/>
        <w:keepNext w:val="0"/>
        <w:keepLines w:val="0"/>
        <w:pageBreakBefore w:val="0"/>
        <w:widowControl w:val="0"/>
        <w:kinsoku/>
        <w:wordWrap/>
        <w:overflowPunct/>
        <w:topLinePunct w:val="0"/>
        <w:autoSpaceDE/>
        <w:autoSpaceDN/>
        <w:bidi w:val="0"/>
        <w:adjustRightInd/>
        <w:snapToGrid/>
        <w:spacing w:after="0" w:line="240" w:lineRule="exact"/>
        <w:ind w:left="0" w:leftChars="0" w:firstLine="0" w:firstLineChars="0"/>
        <w:jc w:val="left"/>
        <w:textAlignment w:val="auto"/>
        <w:rPr>
          <w:rFonts w:hint="eastAsia" w:ascii="宋体" w:hAnsi="宋体" w:eastAsia="宋体" w:cs="宋体"/>
          <w:b/>
          <w:bCs/>
          <w:sz w:val="21"/>
          <w:szCs w:val="21"/>
          <w:highlight w:val="none"/>
          <w:lang w:val="en-US" w:eastAsia="zh-CN"/>
        </w:rPr>
      </w:pPr>
    </w:p>
    <w:p>
      <w:pPr>
        <w:spacing w:line="420" w:lineRule="exact"/>
        <w:rPr>
          <w:rFonts w:hint="eastAsia"/>
          <w:b/>
          <w:bCs/>
          <w:szCs w:val="21"/>
          <w:lang w:val="en-US" w:eastAsia="zh-CN"/>
        </w:rPr>
      </w:pPr>
      <w:r>
        <w:rPr>
          <w:rFonts w:hint="eastAsia"/>
          <w:b/>
          <w:bCs/>
          <w:szCs w:val="21"/>
          <w:lang w:val="en-US" w:eastAsia="zh-CN"/>
        </w:rPr>
        <w:t>注：①土壤采样根据施工进度分批次进场采样，除挥发性有机物项目的样品外，需采9个土壤样品制成混合样。对土壤样品进行PID、XRF快筛。</w:t>
      </w:r>
    </w:p>
    <w:p>
      <w:pPr>
        <w:spacing w:line="420" w:lineRule="exact"/>
        <w:rPr>
          <w:rFonts w:hint="default"/>
          <w:b/>
          <w:bCs/>
          <w:szCs w:val="21"/>
          <w:lang w:val="en-US" w:eastAsia="zh-CN"/>
        </w:rPr>
      </w:pPr>
      <w:r>
        <w:rPr>
          <w:rFonts w:hint="eastAsia"/>
          <w:b/>
          <w:bCs/>
          <w:szCs w:val="21"/>
          <w:lang w:val="en-US" w:eastAsia="zh-CN"/>
        </w:rPr>
        <w:t>②上述二次污染检测频次及检测方法需满足相应执行标准，采购文件将提供检测方案及执行标准，投标人可根据执行标准增加样品数量，但不能低于采购人提供的样品数量。在提供的检测方案基础上，采购人不再因投标人报价中样品数量增加及检测方法调整而增加相关费用。</w:t>
      </w:r>
    </w:p>
    <w:p>
      <w:pPr>
        <w:spacing w:line="420" w:lineRule="exact"/>
        <w:rPr>
          <w:rFonts w:hint="eastAsia"/>
          <w:b/>
          <w:bCs/>
          <w:szCs w:val="21"/>
          <w:lang w:val="en-US" w:eastAsia="zh-CN"/>
        </w:rPr>
      </w:pPr>
      <w:r>
        <w:rPr>
          <w:rFonts w:hint="eastAsia"/>
          <w:b/>
          <w:bCs/>
          <w:szCs w:val="21"/>
          <w:lang w:val="en-US" w:eastAsia="zh-CN"/>
        </w:rPr>
        <w:t>③同一个样品中同一种检测方法只收一次费用，其中检测方法重复的因子检测单价用“0”表示，若本单位无检测能力需外协的正常报价。若无法检测的因子单价用“/”表示。</w:t>
      </w:r>
    </w:p>
    <w:p>
      <w:pPr>
        <w:spacing w:line="420" w:lineRule="exact"/>
        <w:rPr>
          <w:b/>
          <w:bCs/>
          <w:szCs w:val="21"/>
        </w:rPr>
      </w:pPr>
      <w:r>
        <w:rPr>
          <w:rFonts w:hint="eastAsia"/>
          <w:b/>
          <w:bCs/>
          <w:szCs w:val="21"/>
          <w:lang w:val="en-US" w:eastAsia="zh-CN"/>
        </w:rPr>
        <w:t>九</w:t>
      </w:r>
      <w:r>
        <w:rPr>
          <w:b/>
          <w:bCs/>
          <w:szCs w:val="21"/>
        </w:rPr>
        <w:t>、评标办法</w:t>
      </w:r>
    </w:p>
    <w:p>
      <w:pPr>
        <w:spacing w:line="420" w:lineRule="exact"/>
        <w:ind w:firstLine="422" w:firstLineChars="200"/>
        <w:rPr>
          <w:b/>
          <w:bCs/>
          <w:szCs w:val="21"/>
        </w:rPr>
      </w:pPr>
      <w:r>
        <w:rPr>
          <w:b/>
          <w:bCs/>
          <w:szCs w:val="21"/>
        </w:rPr>
        <w:t>本项目为询价项目，采用现场询价，确定中标单位原则：最低价评标法。</w:t>
      </w:r>
    </w:p>
    <w:bookmarkEnd w:id="1"/>
    <w:bookmarkEnd w:id="2"/>
    <w:bookmarkEnd w:id="3"/>
    <w:bookmarkEnd w:id="4"/>
    <w:bookmarkEnd w:id="5"/>
    <w:bookmarkEnd w:id="6"/>
    <w:p>
      <w:pPr>
        <w:spacing w:line="420" w:lineRule="exact"/>
        <w:jc w:val="center"/>
        <w:rPr>
          <w:b/>
          <w:bCs/>
          <w:kern w:val="0"/>
          <w:sz w:val="30"/>
          <w:szCs w:val="30"/>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yellow"/>
        </w:rPr>
      </w:pPr>
    </w:p>
    <w:p>
      <w:pPr>
        <w:spacing w:line="420" w:lineRule="exact"/>
        <w:jc w:val="center"/>
        <w:rPr>
          <w:b/>
          <w:bCs/>
          <w:kern w:val="0"/>
          <w:sz w:val="30"/>
          <w:szCs w:val="30"/>
          <w:highlight w:val="none"/>
        </w:rPr>
      </w:pPr>
      <w:bookmarkStart w:id="51" w:name="_GoBack"/>
      <w:bookmarkEnd w:id="51"/>
      <w:r>
        <w:rPr>
          <w:b/>
          <w:bCs/>
          <w:kern w:val="0"/>
          <w:sz w:val="30"/>
          <w:szCs w:val="30"/>
          <w:highlight w:val="none"/>
        </w:rPr>
        <w:t>合同主要条款</w:t>
      </w:r>
    </w:p>
    <w:p>
      <w:pPr>
        <w:widowControl/>
        <w:snapToGrid w:val="0"/>
        <w:spacing w:line="420" w:lineRule="exact"/>
        <w:ind w:right="-154"/>
        <w:jc w:val="left"/>
        <w:rPr>
          <w:kern w:val="0"/>
          <w:szCs w:val="21"/>
          <w:highlight w:val="none"/>
        </w:rPr>
      </w:pPr>
    </w:p>
    <w:p>
      <w:pPr>
        <w:spacing w:line="460" w:lineRule="exact"/>
        <w:rPr>
          <w:b/>
          <w:bCs/>
          <w:szCs w:val="21"/>
        </w:rPr>
      </w:pPr>
      <w:r>
        <w:rPr>
          <w:b/>
          <w:bCs/>
          <w:szCs w:val="21"/>
        </w:rPr>
        <w:t>甲方：常州环保服务有限公司（以下简称“甲方”）</w:t>
      </w:r>
    </w:p>
    <w:p>
      <w:pPr>
        <w:spacing w:line="460" w:lineRule="exact"/>
        <w:rPr>
          <w:b/>
          <w:bCs/>
          <w:szCs w:val="21"/>
        </w:rPr>
      </w:pPr>
      <w:r>
        <w:rPr>
          <w:b/>
          <w:bCs/>
          <w:szCs w:val="21"/>
        </w:rPr>
        <w:t>乙方：                    （以下简称“乙方”）</w:t>
      </w:r>
    </w:p>
    <w:p>
      <w:pPr>
        <w:spacing w:line="460" w:lineRule="exact"/>
        <w:rPr>
          <w:b/>
          <w:bCs/>
          <w:szCs w:val="21"/>
        </w:rPr>
      </w:pPr>
      <w:r>
        <w:rPr>
          <w:b/>
          <w:bCs/>
          <w:szCs w:val="21"/>
        </w:rPr>
        <w:t>代理机构：</w:t>
      </w:r>
    </w:p>
    <w:p>
      <w:pPr>
        <w:pStyle w:val="11"/>
        <w:keepNext w:val="0"/>
        <w:keepLines w:val="0"/>
        <w:pageBreakBefore w:val="0"/>
        <w:kinsoku/>
        <w:wordWrap/>
        <w:overflowPunct/>
        <w:topLinePunct w:val="0"/>
        <w:autoSpaceDE/>
        <w:autoSpaceDN/>
        <w:bidi w:val="0"/>
        <w:spacing w:line="420" w:lineRule="exact"/>
        <w:ind w:firstLine="420" w:firstLineChars="200"/>
        <w:textAlignment w:val="auto"/>
        <w:rPr>
          <w:rFonts w:ascii="Times New Roman" w:hAnsi="Times New Roman" w:cs="Times New Roman"/>
          <w:bCs/>
        </w:rPr>
      </w:pPr>
      <w:r>
        <w:rPr>
          <w:rFonts w:ascii="Times New Roman" w:hAnsi="Times New Roman" w:cs="Times New Roman"/>
          <w:bCs/>
        </w:rPr>
        <w:t>甲乙双方依据《中华人民共和国民法典》等有关法律规定，遵循平等、自愿、公平和诚实信用的原则，经协商一致，订立</w:t>
      </w:r>
      <w:r>
        <w:rPr>
          <w:rFonts w:hint="eastAsia" w:ascii="Times New Roman" w:hAnsi="Times New Roman" w:cs="Times New Roman"/>
          <w:bCs/>
          <w:lang w:eastAsia="zh-CN"/>
        </w:rPr>
        <w:t>20地块场地修复工程二次污染监测及清挖效果检测项目</w:t>
      </w:r>
      <w:r>
        <w:rPr>
          <w:rFonts w:ascii="Times New Roman" w:hAnsi="Times New Roman" w:cs="Times New Roman"/>
          <w:bCs/>
        </w:rPr>
        <w:t>合同，以便共同遵守。</w:t>
      </w:r>
    </w:p>
    <w:p>
      <w:pPr>
        <w:pStyle w:val="11"/>
        <w:keepNext w:val="0"/>
        <w:keepLines w:val="0"/>
        <w:pageBreakBefore w:val="0"/>
        <w:numPr>
          <w:ilvl w:val="0"/>
          <w:numId w:val="2"/>
        </w:numPr>
        <w:kinsoku/>
        <w:wordWrap/>
        <w:overflowPunct/>
        <w:topLinePunct w:val="0"/>
        <w:autoSpaceDE/>
        <w:autoSpaceDN/>
        <w:bidi w:val="0"/>
        <w:spacing w:line="420" w:lineRule="exact"/>
        <w:ind w:firstLine="422" w:firstLineChars="200"/>
        <w:textAlignment w:val="auto"/>
        <w:rPr>
          <w:rFonts w:ascii="Times New Roman" w:hAnsi="Times New Roman" w:cs="Times New Roman"/>
          <w:b/>
          <w:bCs/>
        </w:rPr>
      </w:pPr>
      <w:r>
        <w:rPr>
          <w:rFonts w:ascii="Times New Roman" w:hAnsi="Times New Roman" w:cs="Times New Roman"/>
          <w:b/>
          <w:bCs/>
        </w:rPr>
        <w:t>服务内容、形式和要求：</w:t>
      </w:r>
    </w:p>
    <w:p>
      <w:pPr>
        <w:pStyle w:val="11"/>
        <w:keepNext w:val="0"/>
        <w:keepLines w:val="0"/>
        <w:pageBreakBefore w:val="0"/>
        <w:kinsoku/>
        <w:wordWrap/>
        <w:overflowPunct/>
        <w:topLinePunct w:val="0"/>
        <w:autoSpaceDE/>
        <w:autoSpaceDN/>
        <w:bidi w:val="0"/>
        <w:spacing w:line="420" w:lineRule="exact"/>
        <w:ind w:firstLine="422" w:firstLineChars="200"/>
        <w:textAlignment w:val="auto"/>
        <w:rPr>
          <w:rFonts w:ascii="Times New Roman" w:hAnsi="Times New Roman" w:cs="Times New Roman"/>
          <w:b/>
          <w:bCs/>
        </w:rPr>
      </w:pPr>
      <w:r>
        <w:rPr>
          <w:rFonts w:ascii="Times New Roman" w:hAnsi="Times New Roman" w:cs="Times New Roman"/>
          <w:b/>
          <w:bCs/>
        </w:rPr>
        <w:t>（一）服务内容：</w:t>
      </w:r>
    </w:p>
    <w:p>
      <w:pPr>
        <w:keepNext w:val="0"/>
        <w:keepLines w:val="0"/>
        <w:pageBreakBefore w:val="0"/>
        <w:widowControl/>
        <w:kinsoku/>
        <w:wordWrap/>
        <w:overflowPunct/>
        <w:topLinePunct w:val="0"/>
        <w:autoSpaceDE/>
        <w:autoSpaceDN/>
        <w:bidi w:val="0"/>
        <w:adjustRightInd w:val="0"/>
        <w:snapToGrid w:val="0"/>
        <w:spacing w:line="42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乙方按照甲方出具的采样检测工作量《详见表1)及检测方案，开展本项目现场采样和实验室检测分析，规范填写采样及检测记录单，据合同约定的服务时限出具检测数据及检测结果，对检测数据分类汇总，并及时编制数据汇总表格提供甲方。提供具有</w:t>
      </w:r>
      <w:r>
        <w:rPr>
          <w:rFonts w:hint="eastAsia" w:ascii="宋体" w:hAnsi="宋体" w:cs="宋体"/>
          <w:sz w:val="21"/>
          <w:szCs w:val="21"/>
          <w:lang w:val="en-US" w:eastAsia="zh-CN"/>
        </w:rPr>
        <w:t>CMA</w:t>
      </w:r>
      <w:r>
        <w:rPr>
          <w:rFonts w:hint="eastAsia" w:ascii="宋体" w:hAnsi="宋体" w:eastAsia="宋体" w:cs="宋体"/>
          <w:sz w:val="21"/>
          <w:szCs w:val="21"/>
          <w:lang w:val="en-US" w:eastAsia="zh-CN"/>
        </w:rPr>
        <w:t>认证的检测报告，并委托第三方单位开展质控工作。采购文件提供检测方案及执行标准，供应商可根据执行标准增加样品数量，但不能低于采购人提供的样品数量。在提供的检测方案基础上，采购人不再因供应商报价中样品数量增加及检测方法调整而增加相关费用。</w:t>
      </w:r>
    </w:p>
    <w:p>
      <w:pPr>
        <w:keepNext w:val="0"/>
        <w:keepLines w:val="0"/>
        <w:pageBreakBefore w:val="0"/>
        <w:widowControl/>
        <w:kinsoku/>
        <w:wordWrap/>
        <w:overflowPunct/>
        <w:topLinePunct w:val="0"/>
        <w:autoSpaceDE/>
        <w:autoSpaceDN/>
        <w:bidi w:val="0"/>
        <w:adjustRightInd w:val="0"/>
        <w:snapToGrid w:val="0"/>
        <w:spacing w:line="42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根据甲方报告编制要求，乙方提供包括但不限于</w:t>
      </w:r>
      <w:r>
        <w:rPr>
          <w:rFonts w:hint="eastAsia" w:ascii="宋体" w:hAnsi="宋体" w:cs="宋体"/>
          <w:sz w:val="21"/>
          <w:szCs w:val="21"/>
          <w:lang w:val="en-US" w:eastAsia="zh-CN"/>
        </w:rPr>
        <w:t>①</w:t>
      </w:r>
      <w:r>
        <w:rPr>
          <w:rFonts w:hint="eastAsia" w:ascii="宋体" w:hAnsi="宋体" w:eastAsia="宋体" w:cs="宋体"/>
          <w:sz w:val="21"/>
          <w:szCs w:val="21"/>
          <w:lang w:val="en-US" w:eastAsia="zh-CN"/>
        </w:rPr>
        <w:t>现场数据整合表《纸质版、电子版》、采样记录单</w:t>
      </w:r>
      <w:r>
        <w:rPr>
          <w:rFonts w:hint="eastAsia" w:ascii="宋体" w:hAnsi="宋体" w:cs="宋体"/>
          <w:sz w:val="21"/>
          <w:szCs w:val="21"/>
          <w:lang w:val="en-US" w:eastAsia="zh-CN"/>
        </w:rPr>
        <w:t>；②</w:t>
      </w:r>
      <w:r>
        <w:rPr>
          <w:rFonts w:hint="eastAsia" w:ascii="宋体" w:hAnsi="宋体" w:eastAsia="宋体" w:cs="宋体"/>
          <w:sz w:val="21"/>
          <w:szCs w:val="21"/>
          <w:lang w:val="en-US" w:eastAsia="zh-CN"/>
        </w:rPr>
        <w:t>提供实验室数据整理分析《提供电子版)，检测样品编号数量项目统计表《提供电子版》</w:t>
      </w:r>
      <w:r>
        <w:rPr>
          <w:rFonts w:hint="eastAsia" w:ascii="宋体" w:hAnsi="宋体" w:cs="宋体"/>
          <w:sz w:val="21"/>
          <w:szCs w:val="21"/>
          <w:lang w:val="en-US" w:eastAsia="zh-CN"/>
        </w:rPr>
        <w:t>；③</w:t>
      </w:r>
      <w:r>
        <w:rPr>
          <w:rFonts w:hint="eastAsia" w:ascii="宋体" w:hAnsi="宋体" w:eastAsia="宋体" w:cs="宋体"/>
          <w:sz w:val="21"/>
          <w:szCs w:val="21"/>
          <w:lang w:val="en-US" w:eastAsia="zh-CN"/>
        </w:rPr>
        <w:t>质控报告《包括平行样品分析、第三方质控报告等，纸质版、电子版)。</w:t>
      </w:r>
    </w:p>
    <w:p>
      <w:pPr>
        <w:keepNext w:val="0"/>
        <w:keepLines w:val="0"/>
        <w:pageBreakBefore w:val="0"/>
        <w:kinsoku/>
        <w:wordWrap/>
        <w:overflowPunct/>
        <w:topLinePunct w:val="0"/>
        <w:autoSpaceDE/>
        <w:autoSpaceDN/>
        <w:bidi w:val="0"/>
        <w:spacing w:line="420" w:lineRule="exact"/>
        <w:jc w:val="center"/>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color w:val="auto"/>
          <w:sz w:val="21"/>
          <w:szCs w:val="21"/>
          <w:lang w:val="en-US" w:eastAsia="zh-CN"/>
        </w:rPr>
        <w:t xml:space="preserve">表1 </w:t>
      </w:r>
      <w:r>
        <w:rPr>
          <w:rFonts w:hint="eastAsia" w:ascii="宋体" w:hAnsi="宋体" w:eastAsia="宋体" w:cs="宋体"/>
          <w:b/>
          <w:bCs/>
          <w:color w:val="auto"/>
          <w:sz w:val="21"/>
          <w:szCs w:val="21"/>
          <w:lang w:eastAsia="zh-CN"/>
        </w:rPr>
        <w:t xml:space="preserve"> </w:t>
      </w:r>
      <w:r>
        <w:rPr>
          <w:rFonts w:hint="eastAsia" w:ascii="宋体" w:hAnsi="宋体" w:eastAsia="宋体" w:cs="宋体"/>
          <w:b/>
          <w:bCs/>
          <w:color w:val="auto"/>
          <w:sz w:val="21"/>
          <w:szCs w:val="21"/>
          <w:lang w:val="en-US" w:eastAsia="zh-CN"/>
        </w:rPr>
        <w:t>本地块</w:t>
      </w:r>
      <w:r>
        <w:rPr>
          <w:rFonts w:hint="eastAsia" w:ascii="宋体" w:hAnsi="宋体" w:eastAsia="宋体" w:cs="宋体"/>
          <w:b/>
          <w:bCs/>
          <w:color w:val="auto"/>
          <w:sz w:val="21"/>
          <w:szCs w:val="21"/>
          <w:lang w:eastAsia="zh-CN"/>
        </w:rPr>
        <w:t>环境监测</w:t>
      </w:r>
      <w:r>
        <w:rPr>
          <w:rFonts w:hint="eastAsia" w:ascii="宋体" w:hAnsi="宋体" w:eastAsia="宋体" w:cs="宋体"/>
          <w:b/>
          <w:bCs/>
          <w:color w:val="auto"/>
          <w:sz w:val="21"/>
          <w:szCs w:val="21"/>
          <w:lang w:val="en-US" w:eastAsia="zh-CN"/>
        </w:rPr>
        <w:t>及清挖效果检测方案</w:t>
      </w:r>
    </w:p>
    <w:tbl>
      <w:tblPr>
        <w:tblStyle w:val="23"/>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58"/>
        <w:gridCol w:w="2312"/>
        <w:gridCol w:w="1068"/>
        <w:gridCol w:w="937"/>
        <w:gridCol w:w="1192"/>
        <w:gridCol w:w="19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951" w:type="pc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检测对象</w:t>
            </w:r>
          </w:p>
        </w:tc>
        <w:tc>
          <w:tcPr>
            <w:tcW w:w="1251" w:type="pct"/>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检测因子</w:t>
            </w:r>
          </w:p>
        </w:tc>
        <w:tc>
          <w:tcPr>
            <w:tcW w:w="578" w:type="pc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点位</w:t>
            </w:r>
          </w:p>
        </w:tc>
        <w:tc>
          <w:tcPr>
            <w:tcW w:w="507" w:type="pc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频次</w:t>
            </w:r>
          </w:p>
        </w:tc>
        <w:tc>
          <w:tcPr>
            <w:tcW w:w="645" w:type="pct"/>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样品数量</w:t>
            </w:r>
          </w:p>
        </w:tc>
        <w:tc>
          <w:tcPr>
            <w:tcW w:w="1065" w:type="pct"/>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执行标准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本底：厂界无组织、敏感点大气（施工前、后）</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SO</w:t>
            </w:r>
            <w:r>
              <w:rPr>
                <w:rFonts w:hint="eastAsia" w:ascii="宋体" w:hAnsi="宋体" w:eastAsia="宋体" w:cs="宋体"/>
                <w:i w:val="0"/>
                <w:iCs w:val="0"/>
                <w:color w:val="000000"/>
                <w:kern w:val="0"/>
                <w:sz w:val="21"/>
                <w:szCs w:val="21"/>
                <w:u w:val="none"/>
                <w:vertAlign w:val="subscript"/>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restar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eastAsia="宋体"/>
                <w:color w:val="000000"/>
                <w:kern w:val="0"/>
                <w:szCs w:val="21"/>
                <w:u w:val="none"/>
                <w:lang w:bidi="ar"/>
              </w:rPr>
              <w:t>《环境空气质量标准》（GB3095-2012）二级标准及《恶臭污染物排放标准》（GB 14554-1993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一氧化碳</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臭氧</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PM10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PM2.5</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TSP</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NOx</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非甲烷总烃</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臭气浓度</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萘</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9"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Style w:val="113"/>
                <w:rFonts w:hint="eastAsia" w:ascii="宋体" w:hAnsi="宋体" w:eastAsia="宋体" w:cs="宋体"/>
                <w:sz w:val="21"/>
                <w:szCs w:val="21"/>
                <w:lang w:val="en-US" w:eastAsia="zh-CN" w:bidi="ar"/>
              </w:rPr>
              <w:t>，</w:t>
            </w: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三氯乙烷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Style w:val="113"/>
                <w:rFonts w:hint="eastAsia" w:ascii="宋体" w:hAnsi="宋体" w:eastAsia="宋体" w:cs="宋体"/>
                <w:sz w:val="21"/>
                <w:szCs w:val="21"/>
                <w:lang w:val="en-US" w:eastAsia="zh-CN" w:bidi="ar"/>
              </w:rPr>
              <w:t>，</w:t>
            </w:r>
            <w:r>
              <w:rPr>
                <w:rFonts w:hint="eastAsia" w:ascii="宋体" w:hAnsi="宋体" w:eastAsia="宋体" w:cs="宋体"/>
                <w:i w:val="0"/>
                <w:iCs w:val="0"/>
                <w:color w:val="000000"/>
                <w:kern w:val="0"/>
                <w:sz w:val="21"/>
                <w:szCs w:val="21"/>
                <w:u w:val="none"/>
                <w:lang w:val="en-US" w:eastAsia="zh-CN" w:bidi="ar"/>
              </w:rPr>
              <w:t>2</w:t>
            </w:r>
            <w:r>
              <w:rPr>
                <w:rStyle w:val="113"/>
                <w:rFonts w:hint="eastAsia" w:ascii="宋体" w:hAnsi="宋体" w:eastAsia="宋体" w:cs="宋体"/>
                <w:sz w:val="21"/>
                <w:szCs w:val="21"/>
                <w:lang w:val="en-US" w:eastAsia="zh-CN" w:bidi="ar"/>
              </w:rPr>
              <w:t>二氯乙烷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苯并(a)</w:t>
            </w:r>
            <w:r>
              <w:rPr>
                <w:rStyle w:val="113"/>
                <w:rFonts w:hint="eastAsia" w:ascii="宋体" w:hAnsi="宋体" w:eastAsia="宋体" w:cs="宋体"/>
                <w:sz w:val="21"/>
                <w:szCs w:val="21"/>
                <w:lang w:val="en-US" w:eastAsia="zh-CN" w:bidi="ar"/>
              </w:rPr>
              <w:t>芘</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施工期二次污染：有组织废气</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SO</w:t>
            </w:r>
            <w:r>
              <w:rPr>
                <w:rFonts w:hint="eastAsia" w:ascii="宋体" w:hAnsi="宋体" w:eastAsia="宋体" w:cs="宋体"/>
                <w:i w:val="0"/>
                <w:iCs w:val="0"/>
                <w:color w:val="000000"/>
                <w:kern w:val="0"/>
                <w:sz w:val="21"/>
                <w:szCs w:val="21"/>
                <w:u w:val="none"/>
                <w:vertAlign w:val="subscript"/>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restar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eastAsia="宋体"/>
                <w:color w:val="000000"/>
                <w:kern w:val="0"/>
                <w:szCs w:val="21"/>
                <w:u w:val="none"/>
                <w:lang w:bidi="ar"/>
              </w:rPr>
              <w:t>《大气污染物综合排放标准》（DB32/4041-2021)及《恶臭污染物排放标准》（GB 14554-1993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一氧化碳</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NOx</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非甲烷总烃</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臭气浓度</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萘</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1，1,2-三氯乙烷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1，2二氯乙烷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苯并</w:t>
            </w:r>
            <w:r>
              <w:rPr>
                <w:rFonts w:hint="eastAsia" w:ascii="宋体" w:hAnsi="宋体" w:eastAsia="宋体" w:cs="宋体"/>
                <w:i w:val="0"/>
                <w:iCs w:val="0"/>
                <w:color w:val="000000"/>
                <w:kern w:val="0"/>
                <w:sz w:val="21"/>
                <w:szCs w:val="21"/>
                <w:u w:val="none"/>
                <w:lang w:val="en-US" w:eastAsia="zh-CN" w:bidi="ar"/>
              </w:rPr>
              <w:t>(a)</w:t>
            </w:r>
            <w:r>
              <w:rPr>
                <w:rStyle w:val="113"/>
                <w:rFonts w:hint="eastAsia" w:ascii="宋体" w:hAnsi="宋体" w:eastAsia="宋体" w:cs="宋体"/>
                <w:sz w:val="21"/>
                <w:szCs w:val="21"/>
                <w:lang w:val="en-US" w:eastAsia="zh-CN" w:bidi="ar"/>
              </w:rPr>
              <w:t>芘</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施工期二次污染：厂界无组织、敏感点大气</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SO</w:t>
            </w:r>
            <w:r>
              <w:rPr>
                <w:rFonts w:hint="eastAsia" w:ascii="宋体" w:hAnsi="宋体" w:eastAsia="宋体" w:cs="宋体"/>
                <w:i w:val="0"/>
                <w:iCs w:val="0"/>
                <w:color w:val="000000"/>
                <w:kern w:val="0"/>
                <w:sz w:val="21"/>
                <w:szCs w:val="21"/>
                <w:u w:val="none"/>
                <w:vertAlign w:val="subscript"/>
                <w:lang w:val="en-US" w:eastAsia="zh-CN" w:bidi="ar"/>
              </w:rPr>
              <w:t>2</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65" w:type="pct"/>
            <w:vMerge w:val="restar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敏感点执行</w:t>
            </w:r>
            <w:r>
              <w:rPr>
                <w:rFonts w:hint="default" w:ascii="Times New Roman" w:hAnsi="Times New Roman" w:eastAsia="宋体" w:cs="Times New Roman"/>
                <w:color w:val="000000"/>
                <w:kern w:val="0"/>
                <w:szCs w:val="21"/>
                <w:u w:val="none"/>
                <w:lang w:bidi="ar"/>
              </w:rPr>
              <w:t>《环境空气质量标准》（GB3095-2012）二级标准及《恶臭污染物排放标准》（GB 14554-1993 ）</w:t>
            </w:r>
            <w:r>
              <w:rPr>
                <w:rFonts w:hint="eastAsia" w:cs="Times New Roman"/>
                <w:color w:val="000000"/>
                <w:kern w:val="0"/>
                <w:szCs w:val="21"/>
                <w:u w:val="none"/>
                <w:lang w:eastAsia="zh-CN" w:bidi="ar"/>
              </w:rPr>
              <w:t>；</w:t>
            </w:r>
            <w:r>
              <w:rPr>
                <w:rFonts w:hint="eastAsia" w:cs="Times New Roman"/>
                <w:color w:val="000000"/>
                <w:kern w:val="0"/>
                <w:szCs w:val="21"/>
                <w:u w:val="none"/>
                <w:lang w:val="en-US" w:eastAsia="zh-CN" w:bidi="ar"/>
              </w:rPr>
              <w:t>厂界无组织执行</w:t>
            </w:r>
            <w:r>
              <w:rPr>
                <w:rFonts w:hint="default" w:ascii="Times New Roman" w:hAnsi="Times New Roman" w:eastAsia="宋体" w:cs="Times New Roman"/>
                <w:color w:val="000000"/>
                <w:kern w:val="0"/>
                <w:szCs w:val="21"/>
                <w:u w:val="none"/>
                <w:lang w:bidi="ar"/>
              </w:rPr>
              <w:t>《大气污染物综合排放标准》（DB32/4041-2021)及《恶臭污染物排放标准》（GB 14554-1993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一氧化碳</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臭氧</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PM10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PM2.5</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TSP</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NOx</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非甲烷总烃</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臭气浓度</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萘</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1，1,2-三氯乙烷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1，2二氯乙烷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苯并</w:t>
            </w:r>
            <w:r>
              <w:rPr>
                <w:rFonts w:hint="eastAsia" w:ascii="宋体" w:hAnsi="宋体" w:eastAsia="宋体" w:cs="宋体"/>
                <w:i w:val="0"/>
                <w:iCs w:val="0"/>
                <w:color w:val="000000"/>
                <w:kern w:val="0"/>
                <w:sz w:val="21"/>
                <w:szCs w:val="21"/>
                <w:u w:val="none"/>
                <w:lang w:val="en-US" w:eastAsia="zh-CN" w:bidi="ar"/>
              </w:rPr>
              <w:t>(a)</w:t>
            </w:r>
            <w:r>
              <w:rPr>
                <w:rStyle w:val="113"/>
                <w:rFonts w:hint="eastAsia" w:ascii="宋体" w:hAnsi="宋体" w:eastAsia="宋体" w:cs="宋体"/>
                <w:sz w:val="21"/>
                <w:szCs w:val="21"/>
                <w:lang w:val="en-US" w:eastAsia="zh-CN" w:bidi="ar"/>
              </w:rPr>
              <w:t>芘</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65" w:type="pct"/>
            <w:vMerge w:val="continue"/>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tcBorders>
              <w:top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本底：噪声</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eastAsia="宋体"/>
                <w:color w:val="000000"/>
                <w:kern w:val="0"/>
                <w:szCs w:val="21"/>
                <w:u w:val="none"/>
                <w:lang w:bidi="ar"/>
              </w:rPr>
              <w:t>《声环境质量标准》（GB 3096-2008）二类标准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951" w:type="pct"/>
            <w:tcBorders>
              <w:top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施工期二次污染：噪声</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06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eastAsia="宋体"/>
                <w:color w:val="000000"/>
                <w:kern w:val="0"/>
                <w:szCs w:val="21"/>
                <w:u w:val="none"/>
                <w:lang w:bidi="ar"/>
              </w:rPr>
              <w:t>《建筑施工场界环境噪声排放标准》（GB 12523-2011）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本底：周边地表水</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65" w:type="pct"/>
            <w:vMerge w:val="restar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eastAsia="宋体"/>
                <w:color w:val="000000"/>
                <w:kern w:val="0"/>
                <w:szCs w:val="21"/>
                <w:u w:val="none"/>
                <w:lang w:bidi="ar"/>
              </w:rPr>
              <w:t>《地表水环境质量标准》（GB3038-2002）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COD</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氨氮</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总氮</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1，1,2-三氯乙烷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r>
              <w:rPr>
                <w:rStyle w:val="113"/>
                <w:rFonts w:hint="eastAsia" w:ascii="宋体" w:hAnsi="宋体" w:eastAsia="宋体" w:cs="宋体"/>
                <w:sz w:val="21"/>
                <w:szCs w:val="21"/>
                <w:lang w:val="en-US" w:eastAsia="zh-CN" w:bidi="ar"/>
              </w:rPr>
              <w:t>二氯乙烯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65" w:type="pct"/>
            <w:vMerge w:val="continue"/>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施工期二次污染：周边地表水</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65" w:type="pct"/>
            <w:vMerge w:val="restar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eastAsia="宋体"/>
                <w:color w:val="000000"/>
                <w:kern w:val="0"/>
                <w:szCs w:val="21"/>
                <w:u w:val="none"/>
                <w:lang w:bidi="ar"/>
              </w:rPr>
              <w:t>《地表水环境质量标准》（GB3038-2002）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COD</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氨氮</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总氮</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1，1,2-三氯乙烷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r>
              <w:rPr>
                <w:rStyle w:val="113"/>
                <w:rFonts w:hint="eastAsia" w:ascii="宋体" w:hAnsi="宋体" w:eastAsia="宋体" w:cs="宋体"/>
                <w:sz w:val="21"/>
                <w:szCs w:val="21"/>
                <w:lang w:val="en-US" w:eastAsia="zh-CN" w:bidi="ar"/>
              </w:rPr>
              <w:t>二氯乙烯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65" w:type="pct"/>
            <w:vMerge w:val="continue"/>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restart"/>
            <w:tcBorders>
              <w:top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本底：地下水</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65" w:type="pct"/>
            <w:vMerge w:val="restar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eastAsia="宋体"/>
                <w:color w:val="000000"/>
                <w:kern w:val="0"/>
                <w:szCs w:val="21"/>
                <w:u w:val="none"/>
                <w:lang w:bidi="ar"/>
              </w:rPr>
              <w:t>《地下水环境质量标准》（GB/T 14848-2017）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萘</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乙苯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r>
              <w:rPr>
                <w:rStyle w:val="113"/>
                <w:rFonts w:hint="eastAsia" w:ascii="宋体" w:hAnsi="宋体" w:eastAsia="宋体" w:cs="宋体"/>
                <w:sz w:val="21"/>
                <w:szCs w:val="21"/>
                <w:lang w:val="en-US" w:eastAsia="zh-CN" w:bidi="ar"/>
              </w:rPr>
              <w:t>三氯乙烷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氯乙烯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065" w:type="pct"/>
            <w:vMerge w:val="continue"/>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restart"/>
            <w:tcBorders>
              <w:top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施工期二次污染：地下水</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restar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eastAsia="宋体"/>
                <w:color w:val="000000"/>
                <w:kern w:val="0"/>
                <w:szCs w:val="21"/>
                <w:u w:val="none"/>
                <w:lang w:bidi="ar"/>
              </w:rPr>
              <w:t>《地下水环境质量标准》（GB/T 14848-2017）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萘</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乙苯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r>
              <w:rPr>
                <w:rStyle w:val="113"/>
                <w:rFonts w:hint="eastAsia" w:ascii="宋体" w:hAnsi="宋体" w:eastAsia="宋体" w:cs="宋体"/>
                <w:sz w:val="21"/>
                <w:szCs w:val="21"/>
                <w:lang w:val="en-US" w:eastAsia="zh-CN" w:bidi="ar"/>
              </w:rPr>
              <w:t>三氯乙烷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氯乙烯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废水预处理设施出水</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restart"/>
            <w:tcBorders>
              <w:top w:val="single" w:color="000000" w:sz="4" w:space="0"/>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污水处理厂接管标准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COD</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SS</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氨氮</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总氮</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萘</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乙苯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r>
              <w:rPr>
                <w:rStyle w:val="113"/>
                <w:rFonts w:hint="eastAsia" w:ascii="宋体" w:hAnsi="宋体" w:eastAsia="宋体" w:cs="宋体"/>
                <w:sz w:val="21"/>
                <w:szCs w:val="21"/>
                <w:lang w:val="en-US" w:eastAsia="zh-CN" w:bidi="ar"/>
              </w:rPr>
              <w:t>三氯乙烷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氯乙烯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苯并(a)芘</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645"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065" w:type="pct"/>
            <w:vMerge w:val="continue"/>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restart"/>
            <w:tcBorders>
              <w:top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土壤清挖效果</w:t>
            </w: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45"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065" w:type="pct"/>
            <w:vMerge w:val="restart"/>
            <w:tcBorders>
              <w:top w:val="single" w:color="000000" w:sz="4" w:space="0"/>
              <w:lef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本项目修复目标值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45"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065" w:type="pct"/>
            <w:vMerge w:val="continue"/>
            <w:tcBorders>
              <w:lef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1,2-二氯乙烷</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45"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065" w:type="pct"/>
            <w:vMerge w:val="continue"/>
            <w:tcBorders>
              <w:lef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951" w:type="pct"/>
            <w:vMerge w:val="continue"/>
            <w:tcBorders>
              <w:top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苯并(a)芘</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45"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1065" w:type="pct"/>
            <w:vMerge w:val="continue"/>
            <w:tcBorders>
              <w:lef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萘</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45"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065" w:type="pct"/>
            <w:vMerge w:val="continue"/>
            <w:tcBorders>
              <w:lef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51" w:type="pct"/>
            <w:vMerge w:val="continue"/>
            <w:tcBorders>
              <w:top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1251" w:type="pc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二(2-氯乙基)醚</w:t>
            </w:r>
          </w:p>
        </w:tc>
        <w:tc>
          <w:tcPr>
            <w:tcW w:w="578" w:type="pc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07" w:type="pc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45" w:type="pct"/>
            <w:tcBorders>
              <w:top w:val="single" w:color="000000" w:sz="4" w:space="0"/>
              <w:lef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065" w:type="pct"/>
            <w:vMerge w:val="continue"/>
            <w:tcBorders>
              <w:lef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bl>
    <w:p>
      <w:pPr>
        <w:pStyle w:val="9"/>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left"/>
        <w:textAlignment w:val="auto"/>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val="en-US" w:eastAsia="zh-CN"/>
        </w:rPr>
        <w:t>注：①土壤采样根据施工进度分批次进场采样，</w:t>
      </w:r>
      <w:r>
        <w:rPr>
          <w:rFonts w:hint="eastAsia" w:ascii="宋体" w:hAnsi="宋体" w:eastAsia="宋体" w:cs="宋体"/>
          <w:b/>
          <w:bCs/>
          <w:sz w:val="21"/>
          <w:szCs w:val="21"/>
          <w:highlight w:val="none"/>
        </w:rPr>
        <w:t>除挥发性有机物项目的样品外，需采9个土壤样品制成混合样。对土壤样品进行PID、XRF快筛</w:t>
      </w:r>
      <w:r>
        <w:rPr>
          <w:rFonts w:hint="eastAsia" w:ascii="宋体" w:hAnsi="宋体" w:eastAsia="宋体" w:cs="宋体"/>
          <w:b/>
          <w:bCs/>
          <w:sz w:val="21"/>
          <w:szCs w:val="21"/>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after="0" w:line="420" w:lineRule="exact"/>
        <w:ind w:left="0" w:leftChars="0" w:firstLine="406" w:firstLineChars="20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②</w:t>
      </w:r>
      <w:r>
        <w:rPr>
          <w:rFonts w:hint="eastAsia" w:ascii="宋体" w:hAnsi="宋体" w:eastAsia="宋体" w:cs="宋体"/>
          <w:b/>
          <w:bCs/>
          <w:sz w:val="21"/>
          <w:szCs w:val="21"/>
          <w:highlight w:val="none"/>
        </w:rPr>
        <w:t>上述二次污染检测频次及检测方法需满足相应执行标准，</w:t>
      </w:r>
      <w:r>
        <w:rPr>
          <w:rFonts w:hint="eastAsia" w:ascii="宋体" w:hAnsi="宋体" w:eastAsia="宋体" w:cs="宋体"/>
          <w:b/>
          <w:bCs/>
          <w:sz w:val="21"/>
          <w:szCs w:val="21"/>
          <w:highlight w:val="none"/>
          <w:lang w:val="en-US" w:eastAsia="zh-CN"/>
        </w:rPr>
        <w:t>采购文件将提供检测方案及执行标准，投标人可根据执行标准增加样品数量，但不能低于</w:t>
      </w:r>
      <w:r>
        <w:rPr>
          <w:rFonts w:hint="eastAsia" w:hAnsi="宋体" w:cs="宋体"/>
          <w:b/>
          <w:bCs/>
          <w:sz w:val="21"/>
          <w:szCs w:val="21"/>
          <w:highlight w:val="none"/>
          <w:lang w:val="en-US" w:eastAsia="zh-CN"/>
        </w:rPr>
        <w:t>甲方</w:t>
      </w:r>
      <w:r>
        <w:rPr>
          <w:rFonts w:hint="eastAsia" w:ascii="宋体" w:hAnsi="宋体" w:eastAsia="宋体" w:cs="宋体"/>
          <w:b/>
          <w:bCs/>
          <w:sz w:val="21"/>
          <w:szCs w:val="21"/>
          <w:highlight w:val="none"/>
          <w:lang w:val="en-US" w:eastAsia="zh-CN"/>
        </w:rPr>
        <w:t>提供的样品数量。在提供的检测方案基础上，</w:t>
      </w:r>
      <w:r>
        <w:rPr>
          <w:rFonts w:hint="eastAsia" w:hAnsi="宋体" w:cs="宋体"/>
          <w:b/>
          <w:bCs/>
          <w:sz w:val="21"/>
          <w:szCs w:val="21"/>
          <w:highlight w:val="none"/>
          <w:lang w:val="en-US" w:eastAsia="zh-CN"/>
        </w:rPr>
        <w:t>甲方</w:t>
      </w:r>
      <w:r>
        <w:rPr>
          <w:rFonts w:hint="eastAsia" w:ascii="宋体" w:hAnsi="宋体" w:eastAsia="宋体" w:cs="宋体"/>
          <w:b/>
          <w:bCs/>
          <w:sz w:val="21"/>
          <w:szCs w:val="21"/>
          <w:highlight w:val="none"/>
          <w:lang w:val="en-US" w:eastAsia="zh-CN"/>
        </w:rPr>
        <w:t>不再因投标人报价中样品数量增加及检测方法调整而增加相关费用。</w:t>
      </w:r>
    </w:p>
    <w:p>
      <w:pPr>
        <w:pStyle w:val="9"/>
        <w:spacing w:line="420" w:lineRule="exact"/>
        <w:ind w:firstLine="406" w:firstLineChars="200"/>
        <w:jc w:val="left"/>
        <w:rPr>
          <w:rFonts w:hint="eastAsia"/>
        </w:rPr>
      </w:pPr>
      <w:r>
        <w:rPr>
          <w:rFonts w:hint="eastAsia" w:hAnsi="宋体" w:cs="宋体"/>
          <w:b/>
          <w:bCs/>
          <w:sz w:val="21"/>
          <w:szCs w:val="21"/>
          <w:highlight w:val="none"/>
          <w:lang w:val="en-US" w:eastAsia="zh-CN"/>
        </w:rPr>
        <w:t>③同一个样品中同一种检测方法只收一次费用，其中检测方法重复的因子检测单价用“0”表示，若本单位无检测能力需外协的正常报价。若无法检测的因子单价用“/”表示。</w:t>
      </w:r>
    </w:p>
    <w:p>
      <w:pPr>
        <w:pStyle w:val="11"/>
        <w:keepNext w:val="0"/>
        <w:keepLines w:val="0"/>
        <w:pageBreakBefore w:val="0"/>
        <w:kinsoku/>
        <w:wordWrap/>
        <w:overflowPunct/>
        <w:topLinePunct w:val="0"/>
        <w:bidi w:val="0"/>
        <w:spacing w:line="420" w:lineRule="exact"/>
        <w:ind w:firstLine="422" w:firstLineChars="200"/>
        <w:textAlignment w:val="auto"/>
        <w:rPr>
          <w:rFonts w:ascii="Times New Roman" w:hAnsi="Times New Roman" w:cs="Times New Roman"/>
          <w:b/>
          <w:bCs/>
        </w:rPr>
      </w:pPr>
      <w:r>
        <w:rPr>
          <w:rFonts w:ascii="Times New Roman" w:hAnsi="Times New Roman" w:cs="Times New Roman"/>
          <w:b/>
          <w:bCs/>
        </w:rPr>
        <w:t>（二）现场管理：</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乙方进场后必须遵守甲方对地块的管理。由于场地全封闭管理，乙方需确保进入施工场地随行人员无无关人员。</w:t>
      </w:r>
    </w:p>
    <w:p>
      <w:pPr>
        <w:pStyle w:val="11"/>
        <w:keepNext w:val="0"/>
        <w:keepLines w:val="0"/>
        <w:pageBreakBefore w:val="0"/>
        <w:kinsoku/>
        <w:wordWrap/>
        <w:overflowPunct/>
        <w:topLinePunct w:val="0"/>
        <w:bidi w:val="0"/>
        <w:spacing w:line="420" w:lineRule="exact"/>
        <w:ind w:firstLine="422" w:firstLineChars="200"/>
        <w:textAlignment w:val="auto"/>
        <w:rPr>
          <w:rFonts w:ascii="Times New Roman" w:hAnsi="Times New Roman" w:cs="Times New Roman"/>
          <w:b/>
          <w:bCs/>
        </w:rPr>
      </w:pPr>
      <w:r>
        <w:rPr>
          <w:rFonts w:ascii="Times New Roman" w:hAnsi="Times New Roman" w:cs="Times New Roman"/>
          <w:b/>
          <w:bCs/>
        </w:rPr>
        <w:t>（三）技术要求：</w:t>
      </w:r>
    </w:p>
    <w:p>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cs="宋体"/>
          <w:sz w:val="21"/>
          <w:szCs w:val="21"/>
          <w:lang w:eastAsia="zh-CN"/>
        </w:rPr>
        <w:t>乙方</w:t>
      </w:r>
      <w:r>
        <w:rPr>
          <w:rFonts w:hint="eastAsia" w:ascii="宋体" w:hAnsi="宋体" w:eastAsia="宋体" w:cs="宋体"/>
          <w:sz w:val="21"/>
          <w:szCs w:val="21"/>
        </w:rPr>
        <w:t>必须按照最新的国家及地方相关法律法规开展工作，包括但不限于</w:t>
      </w:r>
      <w:r>
        <w:rPr>
          <w:rFonts w:hint="eastAsia" w:ascii="宋体" w:hAnsi="宋体" w:eastAsia="宋体" w:cs="宋体"/>
          <w:sz w:val="21"/>
          <w:szCs w:val="21"/>
          <w:lang w:val="en-US" w:eastAsia="zh-CN"/>
        </w:rPr>
        <w:t>《污染地块风险管控与土壤修复效果评估技术导则》(HJ 25.5-2018)、</w:t>
      </w:r>
      <w:r>
        <w:rPr>
          <w:rFonts w:hint="eastAsia" w:ascii="宋体" w:hAnsi="宋体" w:eastAsia="宋体" w:cs="宋体"/>
          <w:sz w:val="21"/>
          <w:szCs w:val="21"/>
        </w:rPr>
        <w:t>《地表水环境质量监测技术规范》（HJ91.2-2022）、《环境空气采样器技术要求及检测方法》（HJ/T375-2007）等相关规定。</w:t>
      </w:r>
    </w:p>
    <w:p>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cs="宋体"/>
          <w:sz w:val="21"/>
          <w:szCs w:val="21"/>
          <w:lang w:eastAsia="zh-CN"/>
        </w:rPr>
        <w:t>甲方</w:t>
      </w:r>
      <w:r>
        <w:rPr>
          <w:rFonts w:hint="eastAsia" w:ascii="宋体" w:hAnsi="宋体" w:eastAsia="宋体" w:cs="宋体"/>
          <w:sz w:val="21"/>
          <w:szCs w:val="21"/>
        </w:rPr>
        <w:t>提前</w:t>
      </w:r>
      <w:r>
        <w:rPr>
          <w:rFonts w:hint="eastAsia" w:ascii="宋体" w:hAnsi="宋体" w:eastAsia="宋体" w:cs="宋体"/>
          <w:sz w:val="21"/>
          <w:szCs w:val="21"/>
          <w:lang w:val="en-US" w:eastAsia="zh-CN"/>
        </w:rPr>
        <w:t>1</w:t>
      </w:r>
      <w:r>
        <w:rPr>
          <w:rFonts w:hint="eastAsia" w:ascii="宋体" w:hAnsi="宋体" w:eastAsia="宋体" w:cs="宋体"/>
          <w:sz w:val="21"/>
          <w:szCs w:val="21"/>
        </w:rPr>
        <w:t>天发布工作方案要求进场开展工作，</w:t>
      </w:r>
      <w:r>
        <w:rPr>
          <w:rFonts w:hint="eastAsia" w:ascii="宋体" w:hAnsi="宋体" w:cs="宋体"/>
          <w:sz w:val="21"/>
          <w:szCs w:val="21"/>
          <w:lang w:eastAsia="zh-CN"/>
        </w:rPr>
        <w:t>乙方</w:t>
      </w:r>
      <w:r>
        <w:rPr>
          <w:rFonts w:hint="eastAsia" w:ascii="宋体" w:hAnsi="宋体" w:eastAsia="宋体" w:cs="宋体"/>
          <w:sz w:val="21"/>
          <w:szCs w:val="21"/>
        </w:rPr>
        <w:t>需及时响应；现场采样完成后，当日按照要求提供现场采样照片（水印相机横屏拍摄），照片内需用白板标注项目名称（明确检测介质）、样品名称、点位经纬度、工作日期、天气，每个点位拍摄照片不少于</w:t>
      </w:r>
      <w:r>
        <w:rPr>
          <w:rFonts w:hint="eastAsia" w:ascii="宋体" w:hAnsi="宋体" w:eastAsia="宋体" w:cs="宋体"/>
          <w:sz w:val="21"/>
          <w:szCs w:val="21"/>
          <w:lang w:val="en-US" w:eastAsia="zh-CN"/>
        </w:rPr>
        <w:t>2</w:t>
      </w:r>
      <w:r>
        <w:rPr>
          <w:rFonts w:hint="eastAsia" w:ascii="宋体" w:hAnsi="宋体" w:eastAsia="宋体" w:cs="宋体"/>
          <w:sz w:val="21"/>
          <w:szCs w:val="21"/>
        </w:rPr>
        <w:t>张，每日拍摄的照片按照点位名称放入各自文件夹，当天发送指定邮箱。现场</w:t>
      </w:r>
      <w:r>
        <w:rPr>
          <w:rFonts w:hint="eastAsia" w:ascii="宋体" w:hAnsi="宋体" w:eastAsia="宋体" w:cs="宋体"/>
          <w:sz w:val="21"/>
          <w:szCs w:val="21"/>
          <w:lang w:val="en-US" w:eastAsia="zh-CN"/>
        </w:rPr>
        <w:t>土壤</w:t>
      </w:r>
      <w:r>
        <w:rPr>
          <w:rFonts w:hint="eastAsia" w:ascii="宋体" w:hAnsi="宋体" w:eastAsia="宋体" w:cs="宋体"/>
          <w:sz w:val="21"/>
          <w:szCs w:val="21"/>
        </w:rPr>
        <w:t>采样记录表格参照重点行业初步采样要求执行，设计的表格需</w:t>
      </w:r>
      <w:r>
        <w:rPr>
          <w:rFonts w:hint="eastAsia" w:ascii="宋体" w:hAnsi="宋体" w:cs="宋体"/>
          <w:sz w:val="21"/>
          <w:szCs w:val="21"/>
          <w:lang w:eastAsia="zh-CN"/>
        </w:rPr>
        <w:t>甲方</w:t>
      </w:r>
      <w:r>
        <w:rPr>
          <w:rFonts w:hint="eastAsia" w:ascii="宋体" w:hAnsi="宋体" w:eastAsia="宋体" w:cs="宋体"/>
          <w:sz w:val="21"/>
          <w:szCs w:val="21"/>
        </w:rPr>
        <w:t>先确认后再记录。现场检测仪器需提供当天仪器校正记录及相关证明材料，现场工作采样完成按要求提交现场工作类及检测数据类成果资料。</w:t>
      </w:r>
      <w:r>
        <w:rPr>
          <w:rFonts w:hint="eastAsia" w:ascii="宋体" w:hAnsi="宋体" w:cs="宋体"/>
          <w:sz w:val="21"/>
          <w:szCs w:val="21"/>
          <w:lang w:eastAsia="zh-CN"/>
        </w:rPr>
        <w:t>乙方</w:t>
      </w:r>
      <w:r>
        <w:rPr>
          <w:rFonts w:hint="eastAsia" w:ascii="宋体" w:hAnsi="宋体" w:eastAsia="宋体" w:cs="宋体"/>
          <w:sz w:val="21"/>
          <w:szCs w:val="21"/>
        </w:rPr>
        <w:t>需对现场工作资料及数据进行备份保存直至项目全部结束。</w:t>
      </w:r>
    </w:p>
    <w:p>
      <w:pPr>
        <w:keepNext w:val="0"/>
        <w:keepLines w:val="0"/>
        <w:pageBreakBefore w:val="0"/>
        <w:widowControl/>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cs="宋体"/>
          <w:sz w:val="21"/>
          <w:szCs w:val="21"/>
          <w:lang w:eastAsia="zh-CN"/>
        </w:rPr>
        <w:t>乙方</w:t>
      </w:r>
      <w:r>
        <w:rPr>
          <w:rFonts w:hint="eastAsia" w:ascii="宋体" w:hAnsi="宋体" w:eastAsia="宋体" w:cs="宋体"/>
          <w:sz w:val="21"/>
          <w:szCs w:val="21"/>
        </w:rPr>
        <w:t>需提供质量控相关资料，对数据真实性、准确性、有效性负责（包含分包检测）。数据出现异常，及时与采购方技术人员沟通，并提供异常数据复核及复测、图谱分析等服务（包含分包检测数据）。</w:t>
      </w:r>
    </w:p>
    <w:p>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4、采样过程需满足现场二次污染防治要求，产生的洗井废水、弃土均由</w:t>
      </w:r>
      <w:r>
        <w:rPr>
          <w:rFonts w:hint="eastAsia" w:ascii="宋体" w:hAnsi="宋体" w:cs="宋体"/>
          <w:sz w:val="21"/>
          <w:szCs w:val="21"/>
          <w:lang w:eastAsia="zh-CN"/>
        </w:rPr>
        <w:t>乙方</w:t>
      </w:r>
      <w:r>
        <w:rPr>
          <w:rFonts w:hint="eastAsia" w:ascii="宋体" w:hAnsi="宋体" w:eastAsia="宋体" w:cs="宋体"/>
          <w:sz w:val="21"/>
          <w:szCs w:val="21"/>
        </w:rPr>
        <w:t>收集和合法合规处置，二次污染防治措施产生的费用由</w:t>
      </w:r>
      <w:r>
        <w:rPr>
          <w:rFonts w:hint="eastAsia" w:ascii="宋体" w:hAnsi="宋体" w:cs="宋体"/>
          <w:sz w:val="21"/>
          <w:szCs w:val="21"/>
          <w:lang w:eastAsia="zh-CN"/>
        </w:rPr>
        <w:t>乙方</w:t>
      </w:r>
      <w:r>
        <w:rPr>
          <w:rFonts w:hint="eastAsia" w:ascii="宋体" w:hAnsi="宋体" w:eastAsia="宋体" w:cs="宋体"/>
          <w:sz w:val="21"/>
          <w:szCs w:val="21"/>
        </w:rPr>
        <w:t>自行承担。</w:t>
      </w:r>
    </w:p>
    <w:p>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cs="宋体"/>
          <w:sz w:val="21"/>
          <w:szCs w:val="21"/>
          <w:lang w:eastAsia="zh-CN"/>
        </w:rPr>
        <w:t>乙方</w:t>
      </w:r>
      <w:r>
        <w:rPr>
          <w:rFonts w:hint="eastAsia" w:ascii="宋体" w:hAnsi="宋体" w:eastAsia="宋体" w:cs="宋体"/>
          <w:sz w:val="21"/>
          <w:szCs w:val="21"/>
        </w:rPr>
        <w:t>应配备专门的现场技术负责人及实验室技术负责人，现场采样期间需每天向</w:t>
      </w:r>
      <w:r>
        <w:rPr>
          <w:rFonts w:hint="eastAsia" w:ascii="宋体" w:hAnsi="宋体" w:cs="宋体"/>
          <w:sz w:val="21"/>
          <w:szCs w:val="21"/>
          <w:lang w:eastAsia="zh-CN"/>
        </w:rPr>
        <w:t>甲方</w:t>
      </w:r>
      <w:r>
        <w:rPr>
          <w:rFonts w:hint="eastAsia" w:ascii="宋体" w:hAnsi="宋体" w:eastAsia="宋体" w:cs="宋体"/>
          <w:sz w:val="21"/>
          <w:szCs w:val="21"/>
        </w:rPr>
        <w:t>上报当日采样工作量，配合</w:t>
      </w:r>
      <w:r>
        <w:rPr>
          <w:rFonts w:hint="eastAsia" w:ascii="宋体" w:hAnsi="宋体" w:cs="宋体"/>
          <w:sz w:val="21"/>
          <w:szCs w:val="21"/>
          <w:lang w:eastAsia="zh-CN"/>
        </w:rPr>
        <w:t>甲方</w:t>
      </w:r>
      <w:r>
        <w:rPr>
          <w:rFonts w:hint="eastAsia" w:ascii="宋体" w:hAnsi="宋体" w:eastAsia="宋体" w:cs="宋体"/>
          <w:sz w:val="21"/>
          <w:szCs w:val="21"/>
        </w:rPr>
        <w:t>开展检测工作量</w:t>
      </w:r>
      <w:r>
        <w:rPr>
          <w:rFonts w:hint="eastAsia" w:ascii="宋体" w:hAnsi="宋体" w:eastAsia="宋体" w:cs="宋体"/>
          <w:sz w:val="21"/>
          <w:szCs w:val="21"/>
          <w:lang w:val="en-US" w:eastAsia="zh-CN"/>
        </w:rPr>
        <w:t>核实</w:t>
      </w:r>
      <w:r>
        <w:rPr>
          <w:rFonts w:hint="eastAsia" w:ascii="宋体" w:hAnsi="宋体" w:eastAsia="宋体" w:cs="宋体"/>
          <w:sz w:val="21"/>
          <w:szCs w:val="21"/>
        </w:rPr>
        <w:t>工作。现场采样过程中有出现需调整的检测内容，修改内容当日形成书面内容（或电子文档）汇报，并统一整理成专项记录以备查。</w:t>
      </w:r>
    </w:p>
    <w:p>
      <w:pPr>
        <w:keepNext w:val="0"/>
        <w:keepLines w:val="0"/>
        <w:pageBreakBefore w:val="0"/>
        <w:widowControl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6、发现</w:t>
      </w:r>
      <w:r>
        <w:rPr>
          <w:rFonts w:hint="eastAsia" w:ascii="宋体" w:hAnsi="宋体" w:cs="宋体"/>
          <w:sz w:val="21"/>
          <w:szCs w:val="21"/>
          <w:lang w:eastAsia="zh-CN"/>
        </w:rPr>
        <w:t>乙方</w:t>
      </w:r>
      <w:r>
        <w:rPr>
          <w:rFonts w:hint="eastAsia" w:ascii="宋体" w:hAnsi="宋体" w:eastAsia="宋体" w:cs="宋体"/>
          <w:sz w:val="21"/>
          <w:szCs w:val="21"/>
        </w:rPr>
        <w:t>现场采样、检测等相关工作弄虚作假，不符合规范要求，则将对其该批次工作全部不予认可，并将追究相关责任，赔偿</w:t>
      </w:r>
      <w:r>
        <w:rPr>
          <w:rFonts w:hint="eastAsia" w:ascii="宋体" w:hAnsi="宋体" w:cs="宋体"/>
          <w:sz w:val="21"/>
          <w:szCs w:val="21"/>
          <w:lang w:eastAsia="zh-CN"/>
        </w:rPr>
        <w:t>甲方</w:t>
      </w:r>
      <w:r>
        <w:rPr>
          <w:rFonts w:hint="eastAsia" w:ascii="宋体" w:hAnsi="宋体" w:eastAsia="宋体" w:cs="宋体"/>
          <w:sz w:val="21"/>
          <w:szCs w:val="21"/>
        </w:rPr>
        <w:t>损失，通过</w:t>
      </w:r>
      <w:r>
        <w:rPr>
          <w:rFonts w:hint="eastAsia" w:ascii="宋体" w:hAnsi="宋体" w:cs="宋体"/>
          <w:sz w:val="21"/>
          <w:szCs w:val="21"/>
          <w:lang w:eastAsia="zh-CN"/>
        </w:rPr>
        <w:t>甲方</w:t>
      </w:r>
      <w:r>
        <w:rPr>
          <w:rFonts w:hint="eastAsia" w:ascii="宋体" w:hAnsi="宋体" w:eastAsia="宋体" w:cs="宋体"/>
          <w:sz w:val="21"/>
          <w:szCs w:val="21"/>
        </w:rPr>
        <w:t>认可后方可进入现场进行重新工作。</w:t>
      </w:r>
    </w:p>
    <w:p>
      <w:pPr>
        <w:pStyle w:val="5"/>
        <w:keepNext w:val="0"/>
        <w:keepLines w:val="0"/>
        <w:pageBreakBefore w:val="0"/>
        <w:kinsoku/>
        <w:wordWrap/>
        <w:overflowPunct/>
        <w:topLinePunct w:val="0"/>
        <w:autoSpaceDE/>
        <w:autoSpaceDN/>
        <w:bidi w:val="0"/>
        <w:adjustRightInd w:val="0"/>
        <w:snapToGrid w:val="0"/>
        <w:spacing w:line="42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w:t>
      </w:r>
      <w:r>
        <w:rPr>
          <w:rFonts w:hint="eastAsia" w:ascii="宋体" w:hAnsi="宋体" w:eastAsia="宋体" w:cs="宋体"/>
          <w:b/>
          <w:bCs/>
          <w:sz w:val="21"/>
          <w:szCs w:val="21"/>
          <w:lang w:val="en-US" w:eastAsia="zh-CN"/>
        </w:rPr>
        <w:t>四</w:t>
      </w:r>
      <w:r>
        <w:rPr>
          <w:rFonts w:hint="eastAsia" w:ascii="宋体" w:hAnsi="宋体" w:eastAsia="宋体" w:cs="宋体"/>
          <w:b/>
          <w:bCs/>
          <w:sz w:val="21"/>
          <w:szCs w:val="21"/>
        </w:rPr>
        <w:t>）成果资料清单及提交时限</w:t>
      </w:r>
    </w:p>
    <w:p>
      <w:pPr>
        <w:keepNext w:val="0"/>
        <w:keepLines w:val="0"/>
        <w:pageBreakBefore w:val="0"/>
        <w:kinsoku/>
        <w:wordWrap/>
        <w:overflowPunct/>
        <w:topLinePunct w:val="0"/>
        <w:autoSpaceDE/>
        <w:autoSpaceDN/>
        <w:bidi w:val="0"/>
        <w:adjustRightInd w:val="0"/>
        <w:snapToGrid w:val="0"/>
        <w:spacing w:line="42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1、现场工作类</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（1）采样当日按要求（详见技术要求）提交现场照片。</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（2）采样完成后5日内提供采样记录单、现场检测仪器校准单、现场检测记录单等材料（3份纸质版及1份电子版）。</w:t>
      </w:r>
    </w:p>
    <w:p>
      <w:pPr>
        <w:keepNext w:val="0"/>
        <w:keepLines w:val="0"/>
        <w:pageBreakBefore w:val="0"/>
        <w:kinsoku/>
        <w:wordWrap/>
        <w:overflowPunct/>
        <w:topLinePunct w:val="0"/>
        <w:autoSpaceDE/>
        <w:autoSpaceDN/>
        <w:bidi w:val="0"/>
        <w:adjustRightInd w:val="0"/>
        <w:snapToGrid w:val="0"/>
        <w:spacing w:line="420" w:lineRule="exact"/>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2、检测数据类</w:t>
      </w:r>
    </w:p>
    <w:p>
      <w:pPr>
        <w:keepNext w:val="0"/>
        <w:keepLines w:val="0"/>
        <w:pageBreakBefore w:val="0"/>
        <w:widowControl/>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（1）采样当日提交电子版COC单。</w:t>
      </w:r>
    </w:p>
    <w:p>
      <w:pPr>
        <w:keepNext w:val="0"/>
        <w:keepLines w:val="0"/>
        <w:pageBreakBefore w:val="0"/>
        <w:widowControl/>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（2）现场采样结束后</w:t>
      </w:r>
      <w:r>
        <w:rPr>
          <w:rFonts w:hint="eastAsia" w:ascii="宋体" w:hAnsi="宋体" w:eastAsia="宋体" w:cs="宋体"/>
          <w:sz w:val="21"/>
          <w:szCs w:val="21"/>
          <w:lang w:val="en-US" w:eastAsia="zh-CN"/>
        </w:rPr>
        <w:t>5</w:t>
      </w:r>
      <w:r>
        <w:rPr>
          <w:rFonts w:hint="eastAsia" w:ascii="宋体" w:hAnsi="宋体" w:eastAsia="宋体" w:cs="宋体"/>
          <w:sz w:val="21"/>
          <w:szCs w:val="21"/>
        </w:rPr>
        <w:t>日内需提供盖章COC单（原件）及所有样品excel数据检测表（与正式报告一致），excel表格中检测结果数据需使用与标准一致的单位且不得使用科学计数法，检测因子需标明CAS号，检测因子顺序需严格按照</w:t>
      </w:r>
      <w:r>
        <w:rPr>
          <w:rFonts w:hint="eastAsia" w:ascii="宋体" w:hAnsi="宋体" w:cs="宋体"/>
          <w:sz w:val="21"/>
          <w:szCs w:val="21"/>
          <w:lang w:eastAsia="zh-CN"/>
        </w:rPr>
        <w:t>甲方</w:t>
      </w:r>
      <w:r>
        <w:rPr>
          <w:rFonts w:hint="eastAsia" w:ascii="宋体" w:hAnsi="宋体" w:eastAsia="宋体" w:cs="宋体"/>
          <w:sz w:val="21"/>
          <w:szCs w:val="21"/>
        </w:rPr>
        <w:t>给出的因子顺序表，否则工作量不予认可。</w:t>
      </w:r>
    </w:p>
    <w:p>
      <w:pPr>
        <w:keepNext w:val="0"/>
        <w:keepLines w:val="0"/>
        <w:pageBreakBefore w:val="0"/>
        <w:widowControl/>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（3）现场采样结束后</w:t>
      </w:r>
      <w:r>
        <w:rPr>
          <w:rFonts w:hint="eastAsia" w:ascii="宋体" w:hAnsi="宋体" w:eastAsia="宋体" w:cs="宋体"/>
          <w:sz w:val="21"/>
          <w:szCs w:val="21"/>
          <w:lang w:val="en-US" w:eastAsia="zh-CN"/>
        </w:rPr>
        <w:t>7</w:t>
      </w:r>
      <w:r>
        <w:rPr>
          <w:rFonts w:hint="eastAsia" w:ascii="宋体" w:hAnsi="宋体" w:eastAsia="宋体" w:cs="宋体"/>
          <w:sz w:val="21"/>
          <w:szCs w:val="21"/>
        </w:rPr>
        <w:t>日内需提供正式盖章纸质报告（3份纸质版及1份电子版）。提供数据质控分析报告，包含质控数据汇总表（质控类型、样品数量、质控结果、达标情况等）及文字表述（质控数据是否达标、现场送检的平行样相对偏差是否满足要求等）。</w:t>
      </w:r>
    </w:p>
    <w:p>
      <w:pPr>
        <w:keepNext w:val="0"/>
        <w:keepLines w:val="0"/>
        <w:pageBreakBefore w:val="0"/>
        <w:widowControl/>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w:t>
      </w:r>
      <w:r>
        <w:rPr>
          <w:rFonts w:hint="eastAsia" w:ascii="宋体" w:hAnsi="宋体" w:eastAsia="宋体" w:cs="宋体"/>
          <w:sz w:val="21"/>
          <w:szCs w:val="21"/>
          <w:lang w:val="en-US" w:eastAsia="zh-CN"/>
        </w:rPr>
        <w:t>除土壤检测外，其他二次污染检测报告应根据执行标准进行评价</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（5）资料提交进度滞后，造成</w:t>
      </w:r>
      <w:r>
        <w:rPr>
          <w:rFonts w:hint="eastAsia" w:ascii="宋体" w:hAnsi="宋体" w:cs="宋体"/>
          <w:sz w:val="21"/>
          <w:szCs w:val="21"/>
          <w:lang w:eastAsia="zh-CN"/>
        </w:rPr>
        <w:t>甲方</w:t>
      </w:r>
      <w:r>
        <w:rPr>
          <w:rFonts w:hint="eastAsia" w:ascii="宋体" w:hAnsi="宋体" w:eastAsia="宋体" w:cs="宋体"/>
          <w:sz w:val="21"/>
          <w:szCs w:val="21"/>
        </w:rPr>
        <w:t>损失的，将会追究</w:t>
      </w:r>
      <w:r>
        <w:rPr>
          <w:rFonts w:hint="eastAsia" w:ascii="宋体" w:hAnsi="宋体" w:cs="宋体"/>
          <w:sz w:val="21"/>
          <w:szCs w:val="21"/>
          <w:lang w:eastAsia="zh-CN"/>
        </w:rPr>
        <w:t>乙方</w:t>
      </w:r>
      <w:r>
        <w:rPr>
          <w:rFonts w:hint="eastAsia" w:ascii="宋体" w:hAnsi="宋体" w:eastAsia="宋体" w:cs="宋体"/>
          <w:sz w:val="21"/>
          <w:szCs w:val="21"/>
        </w:rPr>
        <w:t>相应责任。</w:t>
      </w:r>
    </w:p>
    <w:p>
      <w:pPr>
        <w:pStyle w:val="11"/>
        <w:keepNext w:val="0"/>
        <w:keepLines w:val="0"/>
        <w:pageBreakBefore w:val="0"/>
        <w:kinsoku/>
        <w:wordWrap/>
        <w:overflowPunct/>
        <w:topLinePunct w:val="0"/>
        <w:bidi w:val="0"/>
        <w:spacing w:line="420" w:lineRule="exact"/>
        <w:ind w:firstLine="422" w:firstLineChars="200"/>
        <w:textAlignment w:val="auto"/>
        <w:rPr>
          <w:rFonts w:ascii="Times New Roman" w:hAnsi="Times New Roman" w:cs="Times New Roman"/>
          <w:b/>
          <w:bCs/>
        </w:rPr>
      </w:pPr>
      <w:r>
        <w:rPr>
          <w:rFonts w:ascii="Times New Roman" w:hAnsi="Times New Roman" w:cs="Times New Roman"/>
          <w:b/>
          <w:bCs/>
        </w:rPr>
        <w:t>二、双方职责</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甲方：</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1、提供具体检测方案，包括检测因子及</w:t>
      </w:r>
      <w:r>
        <w:rPr>
          <w:rFonts w:hint="eastAsia" w:ascii="宋体" w:hAnsi="宋体" w:eastAsia="宋体" w:cs="宋体"/>
          <w:sz w:val="21"/>
          <w:szCs w:val="21"/>
          <w:lang w:val="en-US" w:eastAsia="zh-CN"/>
        </w:rPr>
        <w:t>执行标准</w:t>
      </w:r>
      <w:r>
        <w:rPr>
          <w:rFonts w:hint="eastAsia" w:ascii="宋体" w:hAnsi="宋体" w:eastAsia="宋体" w:cs="宋体"/>
          <w:sz w:val="21"/>
          <w:szCs w:val="21"/>
        </w:rPr>
        <w:t>。</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2、派人配合做好有关协调事宜，确保</w:t>
      </w:r>
      <w:r>
        <w:rPr>
          <w:rFonts w:hint="eastAsia" w:ascii="宋体" w:hAnsi="宋体" w:eastAsia="宋体" w:cs="宋体"/>
          <w:sz w:val="21"/>
          <w:szCs w:val="21"/>
          <w:lang w:val="en-US" w:eastAsia="zh-CN"/>
        </w:rPr>
        <w:t>现场采样</w:t>
      </w:r>
      <w:r>
        <w:rPr>
          <w:rFonts w:hint="eastAsia" w:ascii="宋体" w:hAnsi="宋体" w:eastAsia="宋体" w:cs="宋体"/>
          <w:sz w:val="21"/>
          <w:szCs w:val="21"/>
        </w:rPr>
        <w:t>顺利进行。</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乙方：</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1、负责现场管理及现场作业人员的相关安全教育。应按国家相关安全操作规定进行作业，乙方在现场作业施工过程中由于乙方的过错或责任造成对甲方、第三方或者自身损害的，产生的相应责任与后果均由乙方负责。</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若由于乙方工作原因导致现场采样及检测质量等不满足工作要求（包括但不限于现场采样记录单记录不规范、采样快筛等工作不规范、检测因子不全等），或乙方现场采样、检测等相关工作弄虚作假，不符合规范要求，则将对其该批次工作全部不予认可，并将追究相关责任，赔偿甲方损失，通过甲方认可后方可进入现场进行重新工作。</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若由于乙方工作质量问题导致甲方产生损失，包括但不限于钻探费、人员费、车辆费及误工费等，全部由乙方承担，且甲方不支付任何检测费。</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4、乙方结算时需按甲方要求提供结算资料（含第三方质控报告），乙方未提供结算资料或未按要求提供结算资料的，甲方不予结算，造成甲方损失的还需由乙方承担。</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5、项目施工产生的二次污染均需妥善处置，安全及二次污染防治措施费均由乙方自行承担。</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6、实施过程中发生无法预计的问题，由双方协商解决。</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 、报价中漏项的工作内容，乙方仍应按照甲方及合同要求在规定时间内完成相应技术服务工作，由此产生的费用乙方承担。</w:t>
      </w:r>
    </w:p>
    <w:p>
      <w:pPr>
        <w:keepNext w:val="0"/>
        <w:keepLines w:val="0"/>
        <w:pageBreakBefore w:val="0"/>
        <w:widowControl/>
        <w:kinsoku/>
        <w:wordWrap/>
        <w:overflowPunct/>
        <w:topLinePunct w:val="0"/>
        <w:bidi w:val="0"/>
        <w:spacing w:line="420" w:lineRule="exact"/>
        <w:ind w:firstLine="422" w:firstLineChars="200"/>
        <w:textAlignment w:val="auto"/>
        <w:rPr>
          <w:b/>
          <w:bCs/>
          <w:spacing w:val="2"/>
          <w:kern w:val="0"/>
          <w:szCs w:val="21"/>
        </w:rPr>
      </w:pPr>
      <w:r>
        <w:rPr>
          <w:b/>
          <w:bCs/>
          <w:szCs w:val="21"/>
        </w:rPr>
        <w:t>三、费用组成及支付方式：</w:t>
      </w:r>
    </w:p>
    <w:p>
      <w:pPr>
        <w:keepNext w:val="0"/>
        <w:keepLines w:val="0"/>
        <w:pageBreakBefore w:val="0"/>
        <w:widowControl w:val="0"/>
        <w:kinsoku/>
        <w:wordWrap/>
        <w:overflowPunct/>
        <w:topLinePunct w:val="0"/>
        <w:autoSpaceDE w:val="0"/>
        <w:autoSpaceDN w:val="0"/>
        <w:bidi w:val="0"/>
        <w:adjustRightInd w:val="0"/>
        <w:snapToGrid/>
        <w:spacing w:line="420" w:lineRule="exact"/>
        <w:ind w:firstLine="211" w:firstLineChars="100"/>
        <w:jc w:val="left"/>
        <w:textAlignment w:val="auto"/>
        <w:outlineLvl w:val="0"/>
        <w:rPr>
          <w:rFonts w:hint="eastAsia" w:ascii="宋体" w:hAnsi="宋体" w:eastAsia="宋体" w:cs="宋体"/>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一</w:t>
      </w:r>
      <w:r>
        <w:rPr>
          <w:rFonts w:hint="eastAsia" w:ascii="宋体" w:hAnsi="宋体" w:eastAsia="宋体" w:cs="宋体"/>
          <w:b/>
          <w:bCs/>
          <w:sz w:val="21"/>
          <w:szCs w:val="21"/>
          <w:lang w:eastAsia="zh-CN"/>
        </w:rPr>
        <w:t>）</w:t>
      </w:r>
      <w:r>
        <w:rPr>
          <w:rFonts w:hint="eastAsia" w:ascii="宋体" w:hAnsi="宋体" w:eastAsia="宋体" w:cs="宋体"/>
          <w:b/>
          <w:bCs/>
          <w:sz w:val="21"/>
          <w:szCs w:val="21"/>
        </w:rPr>
        <w:t>报酬及</w:t>
      </w:r>
      <w:r>
        <w:rPr>
          <w:rFonts w:hint="eastAsia" w:ascii="宋体" w:hAnsi="宋体" w:eastAsia="宋体" w:cs="宋体"/>
          <w:b/>
          <w:bCs/>
          <w:sz w:val="21"/>
          <w:szCs w:val="21"/>
          <w:lang w:val="en-US" w:eastAsia="zh-CN"/>
        </w:rPr>
        <w:t>付款</w:t>
      </w:r>
      <w:r>
        <w:rPr>
          <w:rFonts w:hint="eastAsia" w:ascii="宋体" w:hAnsi="宋体" w:eastAsia="宋体" w:cs="宋体"/>
          <w:b/>
          <w:bCs/>
          <w:sz w:val="21"/>
          <w:szCs w:val="21"/>
        </w:rPr>
        <w:t>方式：</w:t>
      </w:r>
    </w:p>
    <w:p>
      <w:pPr>
        <w:keepNext w:val="0"/>
        <w:keepLines w:val="0"/>
        <w:pageBreakBefore w:val="0"/>
        <w:widowControl w:val="0"/>
        <w:kinsoku/>
        <w:wordWrap/>
        <w:overflowPunct/>
        <w:topLinePunct w:val="0"/>
        <w:autoSpaceDE w:val="0"/>
        <w:autoSpaceDN w:val="0"/>
        <w:bidi w:val="0"/>
        <w:adjustRightInd w:val="0"/>
        <w:snapToGrid/>
        <w:spacing w:line="420" w:lineRule="exact"/>
        <w:ind w:firstLine="422" w:firstLineChars="200"/>
        <w:jc w:val="left"/>
        <w:textAlignment w:val="auto"/>
        <w:outlineLvl w:val="1"/>
        <w:rPr>
          <w:rFonts w:hint="eastAsia" w:ascii="宋体" w:hAnsi="宋体" w:eastAsia="宋体" w:cs="宋体"/>
          <w:b/>
          <w:bCs/>
          <w:sz w:val="21"/>
          <w:szCs w:val="21"/>
        </w:rPr>
      </w:pPr>
      <w:r>
        <w:rPr>
          <w:rFonts w:hint="eastAsia" w:ascii="宋体" w:hAnsi="宋体" w:eastAsia="宋体" w:cs="宋体"/>
          <w:b/>
          <w:bCs/>
          <w:sz w:val="21"/>
          <w:szCs w:val="21"/>
          <w:lang w:val="en-US" w:eastAsia="zh-CN"/>
        </w:rPr>
        <w:t>1、</w:t>
      </w:r>
      <w:r>
        <w:rPr>
          <w:rFonts w:hint="eastAsia" w:ascii="宋体" w:hAnsi="宋体" w:eastAsia="宋体" w:cs="宋体"/>
          <w:b/>
          <w:bCs/>
          <w:sz w:val="21"/>
          <w:szCs w:val="21"/>
        </w:rPr>
        <w:t>合同价格</w:t>
      </w:r>
    </w:p>
    <w:p>
      <w:pPr>
        <w:keepNext w:val="0"/>
        <w:keepLines w:val="0"/>
        <w:pageBreakBefore w:val="0"/>
        <w:widowControl/>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u w:val="single"/>
        </w:rPr>
      </w:pPr>
      <w:r>
        <w:rPr>
          <w:rFonts w:hint="eastAsia" w:ascii="宋体" w:hAnsi="宋体" w:eastAsia="宋体" w:cs="宋体"/>
          <w:sz w:val="21"/>
          <w:szCs w:val="21"/>
          <w:lang w:val="en-US" w:eastAsia="zh-CN"/>
        </w:rPr>
        <w:t>（1）本合同服务费含税价暂定为：</w:t>
      </w:r>
      <w:r>
        <w:rPr>
          <w:rFonts w:hint="eastAsia" w:ascii="宋体" w:hAnsi="宋体" w:eastAsia="宋体" w:cs="宋体"/>
          <w:sz w:val="21"/>
          <w:szCs w:val="21"/>
          <w:u w:val="single"/>
        </w:rPr>
        <w:t>人民币</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元整</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lang w:val="en-US" w:eastAsia="zh-CN"/>
        </w:rPr>
        <w:t xml:space="preserve">大写：    </w:t>
      </w:r>
      <w:r>
        <w:rPr>
          <w:rFonts w:hint="eastAsia" w:ascii="宋体" w:hAnsi="宋体" w:eastAsia="宋体" w:cs="宋体"/>
          <w:sz w:val="21"/>
          <w:szCs w:val="21"/>
          <w:u w:val="single"/>
          <w:lang w:eastAsia="zh-CN"/>
        </w:rPr>
        <w:t>），</w:t>
      </w:r>
      <w:r>
        <w:rPr>
          <w:rFonts w:hint="eastAsia" w:ascii="宋体" w:hAnsi="宋体" w:eastAsia="宋体" w:cs="宋体"/>
          <w:sz w:val="21"/>
          <w:szCs w:val="21"/>
          <w:u w:val="single"/>
          <w:lang w:val="en-US" w:eastAsia="zh-CN"/>
        </w:rPr>
        <w:t>不含税价：人民币    元（大写：     ），税率为      %。</w:t>
      </w:r>
    </w:p>
    <w:p>
      <w:pPr>
        <w:keepNext w:val="0"/>
        <w:keepLines w:val="0"/>
        <w:pageBreakBefore w:val="0"/>
        <w:widowControl/>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kern w:val="0"/>
          <w:sz w:val="21"/>
          <w:szCs w:val="21"/>
        </w:rPr>
        <w:t>本项目投标报价为</w:t>
      </w:r>
      <w:r>
        <w:rPr>
          <w:rFonts w:hint="eastAsia" w:ascii="宋体" w:hAnsi="宋体" w:eastAsia="宋体" w:cs="宋体"/>
          <w:b/>
          <w:bCs/>
          <w:kern w:val="0"/>
          <w:sz w:val="21"/>
          <w:szCs w:val="21"/>
        </w:rPr>
        <w:t>固定单价</w:t>
      </w:r>
      <w:r>
        <w:rPr>
          <w:rFonts w:hint="eastAsia" w:ascii="宋体" w:hAnsi="宋体" w:eastAsia="宋体" w:cs="宋体"/>
          <w:kern w:val="0"/>
          <w:sz w:val="21"/>
          <w:szCs w:val="21"/>
        </w:rPr>
        <w:t>，</w:t>
      </w:r>
      <w:r>
        <w:rPr>
          <w:rFonts w:hint="eastAsia" w:ascii="宋体" w:hAnsi="宋体" w:eastAsia="宋体" w:cs="宋体"/>
          <w:sz w:val="21"/>
          <w:szCs w:val="21"/>
        </w:rPr>
        <w:t>结算依据报价清单中检测样品数量、检测因子和检测方法以及付款节点按实结算。投标总价应包括招标文件所确定的招标范围相应服务的提供、人员（包括工资和补贴）、</w:t>
      </w:r>
      <w:r>
        <w:rPr>
          <w:rFonts w:hint="eastAsia" w:ascii="宋体" w:hAnsi="宋体" w:eastAsia="宋体" w:cs="宋体"/>
          <w:sz w:val="21"/>
          <w:szCs w:val="21"/>
          <w:lang w:val="en-US" w:eastAsia="zh-CN"/>
        </w:rPr>
        <w:t>质控费用、</w:t>
      </w:r>
      <w:r>
        <w:rPr>
          <w:rFonts w:hint="eastAsia" w:ascii="宋体" w:hAnsi="宋体" w:eastAsia="宋体" w:cs="宋体"/>
          <w:sz w:val="21"/>
          <w:szCs w:val="21"/>
        </w:rPr>
        <w:t>办公场所及设施、保险、劳保、管理、各种税费、利润、税金、政策性文件规定及合同包含的所有风险、责任等各项应有费用，以及为完成该项服务项目所涉及到的一切相关费用（含所有资料获取费用），招标人不再支付其他任何费用，此外还应该遵从以下原则：</w:t>
      </w:r>
    </w:p>
    <w:p>
      <w:pPr>
        <w:keepNext w:val="0"/>
        <w:keepLines w:val="0"/>
        <w:pageBreakBefore w:val="0"/>
        <w:widowControl/>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①参照《江苏省环境监测专业服务管理办法》、《江苏省环境监测专业服务收费标准》（苏价费[2006]397号）和《省物价局、省财政厅关于降低收费标准和实施收费减免的通知》报价，投标人应按照表1格式提供报价单，同一样品同一种检测方法只收一次费</w:t>
      </w:r>
      <w:r>
        <w:rPr>
          <w:rFonts w:hint="eastAsia" w:ascii="宋体" w:hAnsi="宋体" w:cs="宋体"/>
          <w:sz w:val="21"/>
          <w:szCs w:val="21"/>
          <w:lang w:eastAsia="zh-CN"/>
        </w:rPr>
        <w:t>，</w:t>
      </w:r>
      <w:r>
        <w:rPr>
          <w:rFonts w:hint="eastAsia" w:ascii="宋体" w:hAnsi="宋体" w:cs="宋体"/>
          <w:sz w:val="21"/>
          <w:szCs w:val="21"/>
          <w:lang w:val="en-US" w:eastAsia="zh-CN"/>
        </w:rPr>
        <w:t>若重复报价只结算一次且以最低价为准</w:t>
      </w:r>
      <w:r>
        <w:rPr>
          <w:rFonts w:hint="eastAsia" w:ascii="宋体" w:hAnsi="宋体" w:eastAsia="宋体" w:cs="宋体"/>
          <w:sz w:val="21"/>
          <w:szCs w:val="21"/>
        </w:rPr>
        <w:t>因子种类表格不能改动，有相同检测方法的，将后面的检测单价改为0，避免重复计算。</w:t>
      </w:r>
    </w:p>
    <w:p>
      <w:pPr>
        <w:pStyle w:val="5"/>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lang w:val="en-US"/>
        </w:rPr>
      </w:pPr>
      <w:r>
        <w:rPr>
          <w:rFonts w:hint="eastAsia" w:ascii="宋体" w:hAnsi="宋体" w:eastAsia="宋体" w:cs="宋体"/>
          <w:sz w:val="21"/>
          <w:szCs w:val="21"/>
        </w:rPr>
        <w:t>②采样人工费、报告费、税费、现场快筛</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车辆</w:t>
      </w:r>
      <w:r>
        <w:rPr>
          <w:rFonts w:hint="eastAsia" w:ascii="宋体" w:hAnsi="宋体" w:eastAsia="宋体" w:cs="宋体"/>
          <w:sz w:val="21"/>
          <w:szCs w:val="21"/>
        </w:rPr>
        <w:t>等一切费用均含在检测费中，</w:t>
      </w:r>
      <w:r>
        <w:rPr>
          <w:rFonts w:hint="eastAsia" w:ascii="宋体" w:hAnsi="宋体" w:eastAsia="宋体" w:cs="宋体"/>
          <w:b/>
          <w:bCs/>
          <w:sz w:val="21"/>
          <w:szCs w:val="21"/>
        </w:rPr>
        <w:t>检测样品平行样和空白样</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以及</w:t>
      </w:r>
      <w:r>
        <w:rPr>
          <w:rFonts w:hint="eastAsia" w:ascii="宋体" w:hAnsi="宋体" w:eastAsia="宋体" w:cs="宋体"/>
          <w:b/>
          <w:bCs/>
          <w:sz w:val="21"/>
          <w:szCs w:val="21"/>
        </w:rPr>
        <w:t>其他质控样均不另行收费。</w:t>
      </w:r>
      <w:r>
        <w:rPr>
          <w:rFonts w:hint="eastAsia" w:ascii="宋体" w:hAnsi="宋体" w:eastAsia="宋体" w:cs="宋体"/>
          <w:sz w:val="21"/>
          <w:szCs w:val="21"/>
        </w:rPr>
        <w:t>如因中标单位原因发生复检，复检</w:t>
      </w:r>
      <w:r>
        <w:rPr>
          <w:rFonts w:hint="eastAsia" w:ascii="宋体" w:hAnsi="宋体" w:eastAsia="宋体" w:cs="宋体"/>
          <w:kern w:val="2"/>
          <w:sz w:val="21"/>
          <w:szCs w:val="21"/>
          <w:lang w:val="en-US" w:eastAsia="zh-CN" w:bidi="ar-SA"/>
        </w:rPr>
        <w:t>费用由中标单位承担。中标单位需委托第三方单位开展质控工作。</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③所有的检测因子均需要提供报价，检测方法按照国标、EPA、实验室法进行选取，自身不具备检测能力的项目可以分包其他单位承担检测任务，但是分包的样品数量不能超过总样品数量</w:t>
      </w:r>
      <w:r>
        <w:rPr>
          <w:rFonts w:hint="eastAsia" w:ascii="宋体" w:hAnsi="宋体" w:eastAsia="宋体" w:cs="宋体"/>
          <w:sz w:val="21"/>
          <w:szCs w:val="21"/>
          <w:lang w:val="en-US" w:eastAsia="zh-CN"/>
        </w:rPr>
        <w:t>1</w:t>
      </w:r>
      <w:r>
        <w:rPr>
          <w:rFonts w:hint="eastAsia" w:ascii="宋体" w:hAnsi="宋体" w:eastAsia="宋体" w:cs="宋体"/>
          <w:sz w:val="21"/>
          <w:szCs w:val="21"/>
        </w:rPr>
        <w:t>0%，分包因子需标注。</w:t>
      </w:r>
    </w:p>
    <w:p>
      <w:pPr>
        <w:keepNext w:val="0"/>
        <w:keepLines w:val="0"/>
        <w:pageBreakBefore w:val="0"/>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kern w:val="0"/>
          <w:szCs w:val="21"/>
        </w:rPr>
      </w:pPr>
      <w:r>
        <w:rPr>
          <w:rFonts w:hint="eastAsia" w:ascii="宋体" w:hAnsi="宋体" w:eastAsia="宋体" w:cs="宋体"/>
          <w:sz w:val="21"/>
          <w:szCs w:val="21"/>
        </w:rPr>
        <w:t>④</w:t>
      </w:r>
      <w:r>
        <w:rPr>
          <w:rFonts w:hint="eastAsia" w:ascii="宋体" w:hAnsi="宋体" w:eastAsia="宋体" w:cs="宋体"/>
          <w:sz w:val="21"/>
          <w:szCs w:val="21"/>
          <w:lang w:val="en-US" w:eastAsia="zh-CN"/>
        </w:rPr>
        <w:t>按照国家和地方相关技术规范和法律规定性文件，开展环境检测工作。人居按照我方提供的检测方案，制定了本项目检测工作量及费用。本项目检测工作量清单见表1。</w:t>
      </w:r>
      <w:r>
        <w:rPr>
          <w:rFonts w:hint="eastAsia" w:ascii="宋体" w:hAnsi="宋体" w:eastAsia="宋体" w:cs="宋体"/>
          <w:color w:val="auto"/>
          <w:sz w:val="21"/>
          <w:szCs w:val="21"/>
          <w:lang w:val="en-US" w:eastAsia="zh-CN"/>
        </w:rPr>
        <w:t>采购文件提供检测方案及执行标准，投标人可根据执行标准增加样品数量，但不能低于</w:t>
      </w:r>
      <w:r>
        <w:rPr>
          <w:rFonts w:hint="eastAsia" w:ascii="宋体" w:hAnsi="宋体" w:cs="宋体"/>
          <w:color w:val="auto"/>
          <w:sz w:val="21"/>
          <w:szCs w:val="21"/>
          <w:lang w:val="en-US" w:eastAsia="zh-CN"/>
        </w:rPr>
        <w:t>甲方</w:t>
      </w:r>
      <w:r>
        <w:rPr>
          <w:rFonts w:hint="eastAsia" w:ascii="宋体" w:hAnsi="宋体" w:eastAsia="宋体" w:cs="宋体"/>
          <w:color w:val="auto"/>
          <w:sz w:val="21"/>
          <w:szCs w:val="21"/>
          <w:lang w:val="en-US" w:eastAsia="zh-CN"/>
        </w:rPr>
        <w:t>提供的样品数量。在</w:t>
      </w:r>
      <w:r>
        <w:rPr>
          <w:rFonts w:hint="eastAsia" w:ascii="宋体" w:hAnsi="宋体" w:eastAsia="宋体" w:cs="宋体"/>
          <w:sz w:val="21"/>
          <w:szCs w:val="21"/>
          <w:lang w:val="en-US" w:eastAsia="zh-CN"/>
        </w:rPr>
        <w:t>提供的检测方案基础上，</w:t>
      </w:r>
      <w:r>
        <w:rPr>
          <w:rFonts w:hint="eastAsia" w:ascii="宋体" w:hAnsi="宋体" w:cs="宋体"/>
          <w:sz w:val="21"/>
          <w:szCs w:val="21"/>
          <w:lang w:val="en-US" w:eastAsia="zh-CN"/>
        </w:rPr>
        <w:t>甲方</w:t>
      </w:r>
      <w:r>
        <w:rPr>
          <w:rFonts w:hint="eastAsia" w:ascii="宋体" w:hAnsi="宋体" w:eastAsia="宋体" w:cs="宋体"/>
          <w:sz w:val="21"/>
          <w:szCs w:val="21"/>
          <w:lang w:val="en-US" w:eastAsia="zh-CN"/>
        </w:rPr>
        <w:t>不再因投标人报价中样品数量增加及检测方法调整而增加相关费用。</w:t>
      </w:r>
    </w:p>
    <w:p>
      <w:pPr>
        <w:keepNext w:val="0"/>
        <w:keepLines w:val="0"/>
        <w:pageBreakBefore w:val="0"/>
        <w:widowControl/>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2、付款方式</w:t>
      </w:r>
    </w:p>
    <w:p>
      <w:pPr>
        <w:keepNext w:val="0"/>
        <w:keepLines w:val="0"/>
        <w:pageBreakBefore w:val="0"/>
        <w:widowControl/>
        <w:kinsoku/>
        <w:wordWrap/>
        <w:overflowPunct/>
        <w:topLinePunct w:val="0"/>
        <w:autoSpaceDE/>
        <w:autoSpaceDN/>
        <w:bidi w:val="0"/>
        <w:adjustRightInd w:val="0"/>
        <w:snapToGrid w:val="0"/>
        <w:spacing w:line="42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乙方按合同完成全部工作并提供检测报告及质控报告（盖章件），检测工作全部完成，修复项目通过市生态环境局初审取得初审意见且具备结算条件后支付80%，剩余费用在修复项目取得省生态环境厅效果评估备案意见后6个月内支付，甲方以支票、现金或银行转账等方式支付。超出报价清单工作范围的工作内容在发生前需与甲方协商签订补充合同，但所有补充合同的采购总金额不超过本合同金额的10%。未签订补充合同的不予结算。</w:t>
      </w:r>
    </w:p>
    <w:p>
      <w:pPr>
        <w:pStyle w:val="11"/>
        <w:keepNext w:val="0"/>
        <w:keepLines w:val="0"/>
        <w:pageBreakBefore w:val="0"/>
        <w:kinsoku/>
        <w:wordWrap/>
        <w:overflowPunct/>
        <w:topLinePunct w:val="0"/>
        <w:bidi w:val="0"/>
        <w:spacing w:line="420" w:lineRule="exact"/>
        <w:ind w:firstLine="422" w:firstLineChars="200"/>
        <w:textAlignment w:val="auto"/>
        <w:rPr>
          <w:rFonts w:ascii="Times New Roman" w:hAnsi="Times New Roman" w:cs="Times New Roman"/>
          <w:b/>
          <w:bCs/>
        </w:rPr>
      </w:pPr>
      <w:r>
        <w:rPr>
          <w:rFonts w:ascii="Times New Roman" w:hAnsi="Times New Roman" w:cs="Times New Roman"/>
          <w:b/>
          <w:bCs/>
        </w:rPr>
        <w:t>四、下列文件应视为构成并作为阅读和理解本协议的组成部分，即：</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1、本协议书；</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2、采购文件；</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3、投标文件及其附件（含乙方在评标期间递交和确认并经甲方同意的对有关问题的补充资料和澄清文件等）；</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4、中标通知书。</w:t>
      </w:r>
    </w:p>
    <w:p>
      <w:pPr>
        <w:pStyle w:val="11"/>
        <w:keepNext w:val="0"/>
        <w:keepLines w:val="0"/>
        <w:pageBreakBefore w:val="0"/>
        <w:kinsoku/>
        <w:wordWrap/>
        <w:overflowPunct/>
        <w:topLinePunct w:val="0"/>
        <w:bidi w:val="0"/>
        <w:spacing w:line="420" w:lineRule="exact"/>
        <w:ind w:firstLine="422" w:firstLineChars="200"/>
        <w:textAlignment w:val="auto"/>
        <w:rPr>
          <w:rFonts w:ascii="Times New Roman" w:hAnsi="Times New Roman" w:cs="Times New Roman"/>
          <w:b/>
          <w:bCs/>
        </w:rPr>
      </w:pPr>
      <w:r>
        <w:rPr>
          <w:rFonts w:ascii="Times New Roman" w:hAnsi="Times New Roman" w:cs="Times New Roman"/>
          <w:b/>
          <w:bCs/>
        </w:rPr>
        <w:t>五、</w:t>
      </w:r>
      <w:r>
        <w:rPr>
          <w:rFonts w:hint="eastAsia" w:ascii="Times New Roman" w:hAnsi="Times New Roman" w:cs="Times New Roman"/>
          <w:b/>
          <w:bCs/>
        </w:rPr>
        <w:t>履约保证金</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1、乙方应按照招标文件的约定</w:t>
      </w:r>
      <w:r>
        <w:rPr>
          <w:rFonts w:hint="eastAsia" w:ascii="Times New Roman" w:hAnsi="Times New Roman" w:cs="Times New Roman"/>
        </w:rPr>
        <w:t>在签订合同前</w:t>
      </w:r>
      <w:r>
        <w:rPr>
          <w:rFonts w:hint="eastAsia" w:ascii="Times New Roman" w:hAnsi="Times New Roman" w:cs="Times New Roman"/>
          <w:lang w:val="en-US" w:eastAsia="zh-CN"/>
        </w:rPr>
        <w:t>向甲方缴纳</w:t>
      </w:r>
      <w:r>
        <w:rPr>
          <w:rFonts w:ascii="Times New Roman" w:hAnsi="Times New Roman" w:cs="Times New Roman"/>
        </w:rPr>
        <w:t>合同总价格的10%的履约保证金，并注明该项目履约保证金。</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2、若乙方提供保函，则双方不履行本条第3款的约定。</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3、若乙方不能提供保函，则必须支付履约保证金，乙方未能履行合同规定的义务，甲方有权按照违约条款从履约保证金中直接扣取。</w:t>
      </w:r>
      <w:r>
        <w:rPr>
          <w:rFonts w:hint="eastAsia" w:ascii="Times New Roman" w:hAnsi="Times New Roman" w:cs="Times New Roman"/>
        </w:rPr>
        <w:t>履约保证金</w:t>
      </w:r>
      <w:r>
        <w:rPr>
          <w:rFonts w:hint="eastAsia" w:ascii="Times New Roman" w:hAnsi="Times New Roman" w:cs="Times New Roman"/>
          <w:lang w:val="en-US" w:eastAsia="zh-CN"/>
        </w:rPr>
        <w:t>在合同履约完成后</w:t>
      </w:r>
      <w:r>
        <w:rPr>
          <w:rFonts w:hint="eastAsia" w:ascii="Times New Roman" w:hAnsi="Times New Roman" w:cs="Times New Roman"/>
        </w:rPr>
        <w:t>，由乙方申请履约保证金退款，甲方</w:t>
      </w:r>
      <w:r>
        <w:rPr>
          <w:rFonts w:hint="eastAsia" w:ascii="Times New Roman" w:hAnsi="Times New Roman" w:cs="Times New Roman"/>
          <w:lang w:val="en-US" w:eastAsia="zh-CN"/>
        </w:rPr>
        <w:t>确认</w:t>
      </w:r>
      <w:r>
        <w:rPr>
          <w:rFonts w:hint="eastAsia" w:ascii="Times New Roman" w:hAnsi="Times New Roman" w:cs="Times New Roman"/>
        </w:rPr>
        <w:t>后无息退还。</w:t>
      </w:r>
    </w:p>
    <w:p>
      <w:pPr>
        <w:pStyle w:val="11"/>
        <w:keepNext w:val="0"/>
        <w:keepLines w:val="0"/>
        <w:pageBreakBefore w:val="0"/>
        <w:kinsoku/>
        <w:wordWrap/>
        <w:overflowPunct/>
        <w:topLinePunct w:val="0"/>
        <w:bidi w:val="0"/>
        <w:spacing w:line="420" w:lineRule="exact"/>
        <w:ind w:firstLine="422" w:firstLineChars="200"/>
        <w:textAlignment w:val="auto"/>
        <w:rPr>
          <w:rFonts w:ascii="Times New Roman" w:hAnsi="Times New Roman" w:cs="Times New Roman"/>
          <w:b/>
          <w:bCs/>
        </w:rPr>
      </w:pPr>
      <w:r>
        <w:rPr>
          <w:rFonts w:ascii="Times New Roman" w:hAnsi="Times New Roman" w:cs="Times New Roman"/>
          <w:b/>
          <w:bCs/>
        </w:rPr>
        <w:t>六、违约责任</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１、甲方负责在中标通知书发出之日起向乙方提供此次调查的方案和技术要求，并通知乙方进场，乙方需做好次日进场的工作条件。</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2、乙方不能按时进场工作，每逾期1天，乙方向甲方偿付合同总额5‰的违约金；乙方逾期完成超过10天（含10天），甲方有权解除合同，乙方交纳的全部履约保证金不予退还，同时有权要求乙方按照合同总价10%的标准支付违约金，解除合同的通知自发出之日生效。</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3、乙方未按本合同的规定和“服务承诺”提供伴随服务/售后服务的，甲方有权提前解除本合同，同时乙方应按合同总价款的10 %向甲方承担违约责任。</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4、乙方在承担上述一项或多项违约责任后，仍应继续履行合同规定的义务（甲方解除合同的除外）。甲方未能及时追究乙方的任何一项违约责任并不表明甲方放弃追究乙方该项或其他违约责任。</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5、乙方属虚假承诺，或经权威部门监测提供的服务（技术成果）不能满足甲方要求，或是由于乙方的过错造成合同无法继续履行的，除乙方已交履约保证金不予退还外，还应向甲方支付不少于合同总价30%违约金，若该违约金不足以弥补甲方损失，则应当赔偿甲方所有损失。</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6、在合同履行过程中，甲方、乙方应注意保密。在该项目工程中取得的有关信息、资料，乙方人员未经甲方同意，不得向不参与该项目工程的任何第三方透露及泄漏。</w:t>
      </w:r>
    </w:p>
    <w:p>
      <w:pPr>
        <w:pStyle w:val="11"/>
        <w:keepNext w:val="0"/>
        <w:keepLines w:val="0"/>
        <w:pageBreakBefore w:val="0"/>
        <w:kinsoku/>
        <w:wordWrap/>
        <w:overflowPunct/>
        <w:topLinePunct w:val="0"/>
        <w:bidi w:val="0"/>
        <w:spacing w:line="420" w:lineRule="exact"/>
        <w:ind w:firstLine="422" w:firstLineChars="200"/>
        <w:textAlignment w:val="auto"/>
        <w:rPr>
          <w:rFonts w:ascii="Times New Roman" w:hAnsi="Times New Roman" w:cs="Times New Roman"/>
          <w:b/>
          <w:bCs/>
        </w:rPr>
      </w:pPr>
      <w:r>
        <w:rPr>
          <w:rFonts w:ascii="Times New Roman" w:hAnsi="Times New Roman" w:cs="Times New Roman"/>
          <w:b/>
          <w:bCs/>
        </w:rPr>
        <w:t>七、不可抗力</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1、甲、乙双方如果因不可抗力而导致协议义务的延误或不能履行，不承担误期赔偿或终止协议的责任。</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2、本条所述的“不可抗力”系指下列甲、乙双方无法控制、不可预见的事件，但不包括甲、乙双方的违约或疏忽。这些事件包括：战争、严重火灾、洪水、台风、地震以及其他甲方和乙方商定的事件。</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3、在不可抗力事件发生后，受影响的一方应尽快以书面形式将不可抗力的情况和原因通知另一方。除书面另行要求外，受影响的一方应尽实际可能继续履行其相应义务，以及寻求采取合理的方案履行不受不可抗力影响的其他事项。如果不可抗力事件影响时间持续20天以上的，甲乙双方通过友好协商在合理的时间内达成进一步履行服务义务的协议。</w:t>
      </w:r>
    </w:p>
    <w:p>
      <w:pPr>
        <w:pStyle w:val="11"/>
        <w:keepNext w:val="0"/>
        <w:keepLines w:val="0"/>
        <w:pageBreakBefore w:val="0"/>
        <w:kinsoku/>
        <w:wordWrap/>
        <w:overflowPunct/>
        <w:topLinePunct w:val="0"/>
        <w:bidi w:val="0"/>
        <w:spacing w:line="420" w:lineRule="exact"/>
        <w:ind w:firstLine="422" w:firstLineChars="200"/>
        <w:textAlignment w:val="auto"/>
        <w:rPr>
          <w:rFonts w:ascii="Times New Roman" w:hAnsi="Times New Roman" w:cs="Times New Roman"/>
          <w:b/>
          <w:bCs/>
        </w:rPr>
      </w:pPr>
      <w:r>
        <w:rPr>
          <w:rFonts w:ascii="Times New Roman" w:hAnsi="Times New Roman" w:cs="Times New Roman"/>
          <w:b/>
          <w:bCs/>
        </w:rPr>
        <w:t>八、合同的变更和终止</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1、本合同一经签订，甲乙双方不得擅自变更、中止或终止合同。</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2、除发生法律规定的不能预见、不能避免并不能克服的客观情况外，甲乙双方不得放弃或拒绝履行合同。</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3、甲方如果变更项目计划或增减工作量，须在乙方设备和人员调动之前通知乙方。</w:t>
      </w:r>
    </w:p>
    <w:p>
      <w:pPr>
        <w:pStyle w:val="11"/>
        <w:keepNext w:val="0"/>
        <w:keepLines w:val="0"/>
        <w:pageBreakBefore w:val="0"/>
        <w:kinsoku/>
        <w:wordWrap/>
        <w:overflowPunct/>
        <w:topLinePunct w:val="0"/>
        <w:bidi w:val="0"/>
        <w:spacing w:line="420" w:lineRule="exact"/>
        <w:ind w:firstLine="422" w:firstLineChars="200"/>
        <w:textAlignment w:val="auto"/>
        <w:rPr>
          <w:rFonts w:ascii="Times New Roman" w:hAnsi="Times New Roman" w:cs="Times New Roman"/>
          <w:b/>
          <w:bCs/>
        </w:rPr>
      </w:pPr>
      <w:r>
        <w:rPr>
          <w:rFonts w:ascii="Times New Roman" w:hAnsi="Times New Roman" w:cs="Times New Roman"/>
          <w:b/>
          <w:bCs/>
        </w:rPr>
        <w:t>九、合同争议的解决方式</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1、因履行本合同引起的或与本合同有关的争议，甲、乙双方应首先通过友好协商解决，如果协商不能解决争议，则采取以下第</w:t>
      </w:r>
      <w:r>
        <w:rPr>
          <w:rFonts w:hint="eastAsia" w:hAnsi="宋体" w:cs="宋体"/>
        </w:rPr>
        <w:t>②</w:t>
      </w:r>
      <w:r>
        <w:rPr>
          <w:rFonts w:ascii="Times New Roman" w:hAnsi="Times New Roman" w:cs="Times New Roman"/>
        </w:rPr>
        <w:t>种方式解决争议：</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hint="eastAsia" w:hAnsi="宋体" w:cs="宋体"/>
        </w:rPr>
        <w:t>①</w:t>
      </w:r>
      <w:r>
        <w:rPr>
          <w:rFonts w:ascii="Times New Roman" w:hAnsi="Times New Roman" w:cs="Times New Roman"/>
        </w:rPr>
        <w:t>向甲方所在地人民法院提起诉讼；</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hint="eastAsia" w:hAnsi="宋体" w:cs="宋体"/>
        </w:rPr>
        <w:t>②</w:t>
      </w:r>
      <w:r>
        <w:rPr>
          <w:rFonts w:ascii="Times New Roman" w:hAnsi="Times New Roman" w:cs="Times New Roman"/>
        </w:rPr>
        <w:t>向甲方所在地仲裁委员会即常州仲裁委员会按其仲裁规则申请仲裁。</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如没有约定，默认采取第</w:t>
      </w:r>
      <w:r>
        <w:rPr>
          <w:rFonts w:hint="eastAsia" w:hAnsi="宋体" w:cs="宋体"/>
        </w:rPr>
        <w:t>②</w:t>
      </w:r>
      <w:r>
        <w:rPr>
          <w:rFonts w:ascii="Times New Roman" w:hAnsi="Times New Roman" w:cs="Times New Roman"/>
        </w:rPr>
        <w:t>种方式解决争议。</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2、在法院审理和仲裁期间，除有争议部分外，本合同其他部分应继续履行。</w:t>
      </w:r>
    </w:p>
    <w:p>
      <w:pPr>
        <w:pStyle w:val="11"/>
        <w:keepNext w:val="0"/>
        <w:keepLines w:val="0"/>
        <w:pageBreakBefore w:val="0"/>
        <w:kinsoku/>
        <w:wordWrap/>
        <w:overflowPunct/>
        <w:topLinePunct w:val="0"/>
        <w:bidi w:val="0"/>
        <w:spacing w:line="420" w:lineRule="exact"/>
        <w:ind w:firstLine="422" w:firstLineChars="200"/>
        <w:textAlignment w:val="auto"/>
        <w:rPr>
          <w:rFonts w:ascii="Times New Roman" w:hAnsi="Times New Roman" w:cs="Times New Roman"/>
        </w:rPr>
      </w:pPr>
      <w:r>
        <w:rPr>
          <w:rFonts w:ascii="Times New Roman" w:hAnsi="Times New Roman" w:cs="Times New Roman"/>
          <w:b/>
          <w:bCs/>
        </w:rPr>
        <w:t>十、其他</w:t>
      </w:r>
      <w:r>
        <w:rPr>
          <w:rFonts w:ascii="Times New Roman" w:hAnsi="Times New Roman" w:cs="Times New Roman"/>
        </w:rPr>
        <w:t>（上述条款未尽事宜，如中介方的权利、义务、服务费及其支付方式、定金、财产抵押及担保等）</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1、本合同自经甲乙双方签订并加盖公章后，自签订之日起生效。</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2、乙方对项目信息及现场状况有保密责任，未经甲方同意，不得以任何方式提供给第三方，由此产生的后果均由乙方负责。本次合同约定的成果只有甲方享有使用权。</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3、本合同未尽事宜，双方协商解决。</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4、本合同应按照中华人民共和国的现行法律进行解释。</w:t>
      </w:r>
    </w:p>
    <w:p>
      <w:pPr>
        <w:pStyle w:val="11"/>
        <w:keepNext w:val="0"/>
        <w:keepLines w:val="0"/>
        <w:pageBreakBefore w:val="0"/>
        <w:kinsoku/>
        <w:wordWrap/>
        <w:overflowPunct/>
        <w:topLinePunct w:val="0"/>
        <w:bidi w:val="0"/>
        <w:spacing w:line="420" w:lineRule="exact"/>
        <w:ind w:firstLine="420" w:firstLineChars="200"/>
        <w:textAlignment w:val="auto"/>
        <w:rPr>
          <w:rFonts w:ascii="Times New Roman" w:hAnsi="Times New Roman" w:cs="Times New Roman"/>
        </w:rPr>
      </w:pPr>
      <w:r>
        <w:rPr>
          <w:rFonts w:ascii="Times New Roman" w:hAnsi="Times New Roman" w:cs="Times New Roman"/>
        </w:rPr>
        <w:t>5、本合同一式玖份，甲方持有肆份，乙方持有肆份，代理机构持有壹份。</w:t>
      </w:r>
    </w:p>
    <w:p>
      <w:pPr>
        <w:keepNext w:val="0"/>
        <w:keepLines w:val="0"/>
        <w:pageBreakBefore w:val="0"/>
        <w:kinsoku/>
        <w:wordWrap/>
        <w:overflowPunct/>
        <w:topLinePunct w:val="0"/>
        <w:bidi w:val="0"/>
        <w:spacing w:line="420" w:lineRule="exact"/>
        <w:textAlignment w:val="auto"/>
        <w:rPr>
          <w:b/>
          <w:bCs/>
          <w:szCs w:val="21"/>
        </w:rPr>
      </w:pPr>
    </w:p>
    <w:p>
      <w:pPr>
        <w:keepNext w:val="0"/>
        <w:keepLines w:val="0"/>
        <w:pageBreakBefore w:val="0"/>
        <w:kinsoku/>
        <w:wordWrap/>
        <w:overflowPunct/>
        <w:topLinePunct w:val="0"/>
        <w:bidi w:val="0"/>
        <w:spacing w:line="420" w:lineRule="exact"/>
        <w:textAlignment w:val="auto"/>
        <w:rPr>
          <w:b/>
          <w:bCs/>
          <w:szCs w:val="21"/>
        </w:rPr>
      </w:pPr>
      <w:r>
        <w:rPr>
          <w:b/>
          <w:bCs/>
          <w:szCs w:val="21"/>
        </w:rPr>
        <w:t>注：最终以甲乙双方签订的合同条款为准。</w:t>
      </w:r>
    </w:p>
    <w:p>
      <w:pPr>
        <w:pStyle w:val="11"/>
        <w:spacing w:line="440" w:lineRule="exact"/>
        <w:ind w:firstLine="420" w:firstLineChars="200"/>
        <w:rPr>
          <w:rFonts w:ascii="Times New Roman" w:hAnsi="Times New Roman" w:cs="Times New Roman"/>
        </w:rPr>
      </w:pPr>
    </w:p>
    <w:p>
      <w:pPr>
        <w:spacing w:line="440" w:lineRule="exact"/>
        <w:rPr>
          <w:color w:val="000000"/>
          <w:szCs w:val="21"/>
        </w:rPr>
      </w:pPr>
      <w:bookmarkStart w:id="7" w:name="_Toc7668_WPSOffice_Level2"/>
      <w:bookmarkStart w:id="8" w:name="_Toc16735_WPSOffice_Level2"/>
      <w:r>
        <w:rPr>
          <w:b/>
          <w:bCs/>
          <w:color w:val="000000"/>
          <w:szCs w:val="21"/>
        </w:rPr>
        <w:t>甲    方</w:t>
      </w:r>
      <w:r>
        <w:rPr>
          <w:color w:val="000000"/>
          <w:szCs w:val="21"/>
        </w:rPr>
        <w:t xml:space="preserve">：                               </w:t>
      </w:r>
      <w:r>
        <w:rPr>
          <w:b/>
          <w:bCs/>
          <w:color w:val="000000"/>
          <w:szCs w:val="21"/>
        </w:rPr>
        <w:t>乙    方</w:t>
      </w:r>
      <w:r>
        <w:rPr>
          <w:color w:val="000000"/>
          <w:szCs w:val="21"/>
        </w:rPr>
        <w:t>：</w:t>
      </w:r>
      <w:bookmarkEnd w:id="7"/>
      <w:bookmarkEnd w:id="8"/>
    </w:p>
    <w:p>
      <w:pPr>
        <w:spacing w:line="440" w:lineRule="exact"/>
        <w:rPr>
          <w:color w:val="000000"/>
          <w:szCs w:val="21"/>
          <w:u w:val="single"/>
        </w:rPr>
      </w:pPr>
      <w:r>
        <w:rPr>
          <w:color w:val="000000"/>
          <w:szCs w:val="21"/>
        </w:rPr>
        <w:t>单位名称（章）：                         单位名称（章）：</w:t>
      </w:r>
    </w:p>
    <w:p>
      <w:pPr>
        <w:spacing w:line="440" w:lineRule="exact"/>
        <w:rPr>
          <w:color w:val="000000"/>
          <w:szCs w:val="21"/>
        </w:rPr>
      </w:pPr>
      <w:r>
        <w:rPr>
          <w:color w:val="000000"/>
          <w:szCs w:val="21"/>
        </w:rPr>
        <w:t xml:space="preserve">单位地址：                               单位地址：                       </w:t>
      </w:r>
    </w:p>
    <w:p>
      <w:pPr>
        <w:spacing w:line="440" w:lineRule="exact"/>
        <w:rPr>
          <w:color w:val="000000"/>
          <w:szCs w:val="21"/>
        </w:rPr>
      </w:pPr>
      <w:r>
        <w:rPr>
          <w:color w:val="000000"/>
          <w:szCs w:val="21"/>
        </w:rPr>
        <w:t xml:space="preserve">法定代表人：       委托代理人：           法定代表人：      委托代理人：                            </w:t>
      </w:r>
    </w:p>
    <w:p>
      <w:pPr>
        <w:spacing w:line="440" w:lineRule="exact"/>
        <w:rPr>
          <w:color w:val="000000"/>
          <w:szCs w:val="21"/>
        </w:rPr>
      </w:pPr>
      <w:r>
        <w:rPr>
          <w:color w:val="000000"/>
          <w:szCs w:val="21"/>
        </w:rPr>
        <w:t>电话：                                   电话：            传真：</w:t>
      </w:r>
    </w:p>
    <w:p>
      <w:pPr>
        <w:spacing w:line="440" w:lineRule="exact"/>
        <w:rPr>
          <w:szCs w:val="21"/>
        </w:rPr>
      </w:pPr>
      <w:r>
        <w:rPr>
          <w:color w:val="000000"/>
          <w:szCs w:val="21"/>
        </w:rPr>
        <w:t xml:space="preserve">传真：                                   开户银行：        帐号：                   </w:t>
      </w:r>
      <w:r>
        <w:rPr>
          <w:szCs w:val="21"/>
        </w:rPr>
        <w:t xml:space="preserve">                                                                                </w:t>
      </w:r>
    </w:p>
    <w:p>
      <w:pPr>
        <w:spacing w:line="440" w:lineRule="exact"/>
        <w:rPr>
          <w:szCs w:val="21"/>
        </w:rPr>
      </w:pPr>
      <w:r>
        <w:rPr>
          <w:b/>
          <w:bCs/>
          <w:szCs w:val="21"/>
        </w:rPr>
        <w:t>代理机构</w:t>
      </w:r>
      <w:r>
        <w:rPr>
          <w:szCs w:val="21"/>
        </w:rPr>
        <w:t>：</w:t>
      </w:r>
    </w:p>
    <w:p>
      <w:pPr>
        <w:tabs>
          <w:tab w:val="left" w:pos="3780"/>
        </w:tabs>
        <w:spacing w:line="440" w:lineRule="exact"/>
        <w:rPr>
          <w:szCs w:val="21"/>
        </w:rPr>
      </w:pPr>
      <w:r>
        <w:rPr>
          <w:szCs w:val="21"/>
        </w:rPr>
        <w:t>单位名称（章）：</w:t>
      </w:r>
      <w:r>
        <w:rPr>
          <w:szCs w:val="21"/>
          <w:u w:val="single"/>
        </w:rPr>
        <w:t xml:space="preserve"> </w:t>
      </w:r>
      <w:r>
        <w:rPr>
          <w:b/>
          <w:bCs/>
          <w:szCs w:val="21"/>
          <w:u w:val="single"/>
        </w:rPr>
        <w:t>常州市恒卓建设工程管理咨询有限公司</w:t>
      </w:r>
      <w:r>
        <w:rPr>
          <w:szCs w:val="21"/>
          <w:u w:val="single"/>
        </w:rPr>
        <w:t xml:space="preserve"> </w:t>
      </w:r>
      <w:r>
        <w:rPr>
          <w:szCs w:val="21"/>
        </w:rPr>
        <w:t xml:space="preserve">    </w:t>
      </w:r>
    </w:p>
    <w:p>
      <w:pPr>
        <w:tabs>
          <w:tab w:val="left" w:pos="3780"/>
        </w:tabs>
        <w:spacing w:line="440" w:lineRule="exact"/>
        <w:rPr>
          <w:szCs w:val="21"/>
          <w:u w:val="single"/>
        </w:rPr>
      </w:pPr>
      <w:r>
        <w:rPr>
          <w:szCs w:val="21"/>
        </w:rPr>
        <w:t>单位地址：</w:t>
      </w:r>
      <w:r>
        <w:rPr>
          <w:b/>
          <w:bCs/>
          <w:szCs w:val="21"/>
          <w:u w:val="single"/>
        </w:rPr>
        <w:t>常州市北塘河路8号恒生科技园44-2栋（一号大门往北一百米）　</w:t>
      </w:r>
    </w:p>
    <w:p>
      <w:pPr>
        <w:spacing w:line="440" w:lineRule="exact"/>
        <w:rPr>
          <w:szCs w:val="21"/>
        </w:rPr>
      </w:pPr>
      <w:r>
        <w:rPr>
          <w:szCs w:val="21"/>
        </w:rPr>
        <w:t>法定代表人：                           委托代理人：</w:t>
      </w:r>
    </w:p>
    <w:p>
      <w:pPr>
        <w:spacing w:line="440" w:lineRule="exact"/>
        <w:rPr>
          <w:b/>
          <w:bCs/>
          <w:kern w:val="0"/>
          <w:sz w:val="30"/>
          <w:szCs w:val="30"/>
        </w:rPr>
      </w:pPr>
      <w:r>
        <w:rPr>
          <w:szCs w:val="21"/>
        </w:rPr>
        <w:t>经办人：                               电  话：</w:t>
      </w: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b/>
          <w:bCs/>
          <w:kern w:val="0"/>
          <w:sz w:val="30"/>
          <w:szCs w:val="30"/>
        </w:rPr>
      </w:pPr>
    </w:p>
    <w:p>
      <w:pPr>
        <w:widowControl/>
        <w:snapToGrid w:val="0"/>
        <w:spacing w:line="480" w:lineRule="auto"/>
        <w:ind w:right="-153"/>
        <w:jc w:val="center"/>
        <w:rPr>
          <w:kern w:val="0"/>
          <w:szCs w:val="21"/>
        </w:rPr>
      </w:pPr>
      <w:r>
        <w:rPr>
          <w:b/>
          <w:bCs/>
          <w:kern w:val="0"/>
          <w:sz w:val="30"/>
          <w:szCs w:val="30"/>
        </w:rPr>
        <w:t>附件</w:t>
      </w:r>
      <w:r>
        <w:rPr>
          <w:b/>
          <w:bCs/>
          <w:kern w:val="0"/>
          <w:sz w:val="30"/>
          <w:szCs w:val="30"/>
          <w:lang w:val="zh-CN"/>
        </w:rPr>
        <w:t>（格式）</w:t>
      </w:r>
    </w:p>
    <w:p>
      <w:pPr>
        <w:pStyle w:val="61"/>
        <w:spacing w:line="360" w:lineRule="exact"/>
        <w:rPr>
          <w:rFonts w:ascii="Times New Roman" w:hAnsi="Times New Roman"/>
          <w:b/>
          <w:color w:val="000000"/>
          <w:sz w:val="32"/>
        </w:rPr>
      </w:pPr>
      <w:bookmarkStart w:id="9" w:name="_Toc322435832"/>
      <w:bookmarkStart w:id="10" w:name="_Toc331056449"/>
      <w:bookmarkStart w:id="11" w:name="_Toc330998561"/>
      <w:bookmarkStart w:id="12" w:name="_Toc331061670"/>
      <w:bookmarkStart w:id="13" w:name="_Toc322436002"/>
      <w:bookmarkStart w:id="14" w:name="_Toc322436057"/>
      <w:bookmarkStart w:id="15" w:name="_Toc322436237"/>
      <w:r>
        <w:rPr>
          <w:rFonts w:ascii="Times New Roman" w:hAnsi="Times New Roman"/>
          <w:b/>
          <w:color w:val="000000"/>
          <w:sz w:val="28"/>
          <w:szCs w:val="28"/>
        </w:rPr>
        <w:t>附件1、投标函</w:t>
      </w:r>
      <w:r>
        <w:rPr>
          <w:rFonts w:ascii="Times New Roman" w:hAnsi="Times New Roman"/>
          <w:b/>
          <w:color w:val="000000"/>
          <w:sz w:val="32"/>
        </w:rPr>
        <w:t xml:space="preserve"> </w:t>
      </w:r>
    </w:p>
    <w:p>
      <w:pPr>
        <w:pStyle w:val="19"/>
      </w:pPr>
    </w:p>
    <w:p>
      <w:pPr>
        <w:pStyle w:val="61"/>
        <w:spacing w:line="360" w:lineRule="exact"/>
        <w:jc w:val="center"/>
        <w:rPr>
          <w:rFonts w:ascii="Times New Roman" w:hAnsi="Times New Roman"/>
          <w:b/>
          <w:color w:val="000000"/>
          <w:sz w:val="32"/>
        </w:rPr>
      </w:pPr>
      <w:r>
        <w:rPr>
          <w:rFonts w:ascii="Times New Roman" w:hAnsi="Times New Roman"/>
          <w:b/>
          <w:color w:val="000000"/>
          <w:sz w:val="32"/>
        </w:rPr>
        <w:t>投  标  函</w:t>
      </w:r>
    </w:p>
    <w:p>
      <w:pPr>
        <w:pStyle w:val="61"/>
        <w:spacing w:line="360" w:lineRule="exact"/>
        <w:rPr>
          <w:rFonts w:ascii="Times New Roman" w:hAnsi="Times New Roman"/>
          <w:color w:val="000000"/>
          <w:sz w:val="21"/>
          <w:szCs w:val="21"/>
        </w:rPr>
      </w:pPr>
      <w:r>
        <w:rPr>
          <w:rFonts w:ascii="Times New Roman" w:hAnsi="Times New Roman"/>
          <w:color w:val="000000"/>
          <w:sz w:val="21"/>
          <w:szCs w:val="21"/>
          <w:u w:val="single"/>
        </w:rPr>
        <w:t xml:space="preserve">常州市恒卓建设工程管理咨询有限公司 </w:t>
      </w:r>
      <w:r>
        <w:rPr>
          <w:rFonts w:ascii="Times New Roman" w:hAnsi="Times New Roman"/>
          <w:color w:val="000000"/>
          <w:sz w:val="21"/>
          <w:szCs w:val="21"/>
        </w:rPr>
        <w:t>：</w:t>
      </w:r>
    </w:p>
    <w:p>
      <w:pPr>
        <w:pStyle w:val="61"/>
        <w:spacing w:line="360" w:lineRule="exact"/>
        <w:rPr>
          <w:rFonts w:ascii="Times New Roman" w:hAnsi="Times New Roman"/>
          <w:color w:val="000000"/>
          <w:sz w:val="21"/>
          <w:szCs w:val="21"/>
        </w:rPr>
      </w:pPr>
      <w:r>
        <w:rPr>
          <w:rFonts w:ascii="Times New Roman" w:hAnsi="Times New Roman"/>
          <w:color w:val="000000"/>
          <w:sz w:val="21"/>
          <w:szCs w:val="21"/>
        </w:rPr>
        <w:t xml:space="preserve">    我们收到贵公司 </w:t>
      </w:r>
      <w:r>
        <w:rPr>
          <w:rFonts w:ascii="Times New Roman" w:hAnsi="Times New Roman"/>
          <w:color w:val="000000"/>
          <w:sz w:val="21"/>
          <w:szCs w:val="21"/>
          <w:u w:val="single"/>
        </w:rPr>
        <w:t xml:space="preserve">             </w:t>
      </w:r>
      <w:r>
        <w:rPr>
          <w:rFonts w:ascii="Times New Roman" w:hAnsi="Times New Roman"/>
          <w:color w:val="000000"/>
          <w:sz w:val="21"/>
          <w:szCs w:val="21"/>
        </w:rPr>
        <w:t>号招标文件，经仔细阅读和研究，我们决定参加本项目的招标活动并投标。为此，我方郑重声明以下诸点，并负法律责任。</w:t>
      </w:r>
    </w:p>
    <w:p>
      <w:pPr>
        <w:pStyle w:val="61"/>
        <w:spacing w:line="360" w:lineRule="exact"/>
        <w:ind w:firstLine="420" w:firstLineChars="200"/>
        <w:rPr>
          <w:rFonts w:ascii="Times New Roman" w:hAnsi="Times New Roman"/>
          <w:color w:val="000000"/>
          <w:sz w:val="21"/>
          <w:szCs w:val="21"/>
        </w:rPr>
      </w:pPr>
      <w:r>
        <w:rPr>
          <w:rFonts w:ascii="Times New Roman" w:hAnsi="Times New Roman"/>
          <w:color w:val="000000"/>
          <w:sz w:val="21"/>
          <w:szCs w:val="21"/>
        </w:rPr>
        <w:t>1.我们愿意按照招标文件的一切要求，提供完成该项目的全部内容，</w:t>
      </w:r>
      <w:r>
        <w:rPr>
          <w:rFonts w:ascii="Times New Roman" w:hAnsi="Times New Roman"/>
          <w:sz w:val="21"/>
          <w:szCs w:val="21"/>
        </w:rPr>
        <w:t>我们的报价包括货物、制造、加工、运输、卸货至现场基础上、人工、机械、保险、劳保、各种税费以及质保期间的一切费用</w:t>
      </w:r>
      <w:r>
        <w:rPr>
          <w:rFonts w:ascii="Times New Roman" w:hAnsi="Times New Roman"/>
          <w:color w:val="000000"/>
          <w:sz w:val="21"/>
          <w:szCs w:val="21"/>
        </w:rPr>
        <w:t>。</w:t>
      </w:r>
    </w:p>
    <w:p>
      <w:pPr>
        <w:pStyle w:val="61"/>
        <w:spacing w:line="360" w:lineRule="exact"/>
        <w:ind w:firstLine="420" w:firstLineChars="200"/>
        <w:rPr>
          <w:rFonts w:ascii="Times New Roman" w:hAnsi="Times New Roman"/>
          <w:color w:val="000000"/>
          <w:sz w:val="21"/>
          <w:szCs w:val="21"/>
        </w:rPr>
      </w:pPr>
      <w:r>
        <w:rPr>
          <w:rFonts w:ascii="Times New Roman" w:hAnsi="Times New Roman"/>
          <w:color w:val="000000"/>
          <w:sz w:val="21"/>
          <w:szCs w:val="21"/>
        </w:rPr>
        <w:t>2.如果我们的投标文件被接受，我们将严格履行招标文件中规定的每一项要求，按期、按质、按量履行合同的义务。</w:t>
      </w:r>
    </w:p>
    <w:p>
      <w:pPr>
        <w:pStyle w:val="61"/>
        <w:spacing w:line="360" w:lineRule="exact"/>
        <w:ind w:firstLine="420" w:firstLineChars="200"/>
        <w:rPr>
          <w:rFonts w:ascii="Times New Roman" w:hAnsi="Times New Roman"/>
          <w:color w:val="000000"/>
          <w:sz w:val="21"/>
          <w:szCs w:val="21"/>
        </w:rPr>
      </w:pPr>
      <w:r>
        <w:rPr>
          <w:rFonts w:ascii="Times New Roman" w:hAnsi="Times New Roman"/>
          <w:color w:val="000000"/>
          <w:sz w:val="21"/>
          <w:szCs w:val="21"/>
        </w:rPr>
        <w:t>3.我们已详细审查全部招标文件，包括补充文件(如果有的话)。我们完全理解并同意招标文件的所有规定，并放弃对这方面有不明及误解的权利。</w:t>
      </w:r>
    </w:p>
    <w:p>
      <w:pPr>
        <w:pStyle w:val="61"/>
        <w:spacing w:line="360" w:lineRule="exact"/>
        <w:rPr>
          <w:rFonts w:ascii="Times New Roman" w:hAnsi="Times New Roman"/>
          <w:color w:val="000000"/>
          <w:sz w:val="21"/>
          <w:szCs w:val="21"/>
        </w:rPr>
      </w:pPr>
      <w:r>
        <w:rPr>
          <w:rFonts w:ascii="Times New Roman" w:hAnsi="Times New Roman"/>
          <w:color w:val="000000"/>
          <w:sz w:val="21"/>
          <w:szCs w:val="21"/>
        </w:rPr>
        <w:t xml:space="preserve">    4.我们同意按招标文件中的规定，本投标文件的有效期限为投标开始后</w:t>
      </w:r>
      <w:r>
        <w:rPr>
          <w:rFonts w:ascii="Times New Roman" w:hAnsi="Times New Roman"/>
          <w:color w:val="000000"/>
          <w:sz w:val="21"/>
          <w:szCs w:val="21"/>
          <w:u w:val="single"/>
        </w:rPr>
        <w:t>120</w:t>
      </w:r>
      <w:r>
        <w:rPr>
          <w:rFonts w:ascii="Times New Roman" w:hAnsi="Times New Roman"/>
          <w:color w:val="000000"/>
          <w:sz w:val="21"/>
          <w:szCs w:val="21"/>
        </w:rPr>
        <w:t>天。</w:t>
      </w:r>
    </w:p>
    <w:p>
      <w:pPr>
        <w:pStyle w:val="61"/>
        <w:spacing w:line="360" w:lineRule="exact"/>
        <w:rPr>
          <w:rFonts w:ascii="Times New Roman" w:hAnsi="Times New Roman"/>
          <w:color w:val="000000"/>
          <w:sz w:val="21"/>
          <w:szCs w:val="21"/>
        </w:rPr>
      </w:pPr>
      <w:r>
        <w:rPr>
          <w:rFonts w:ascii="Times New Roman" w:hAnsi="Times New Roman"/>
          <w:color w:val="000000"/>
          <w:sz w:val="21"/>
          <w:szCs w:val="21"/>
        </w:rPr>
        <w:t xml:space="preserve">    5.我们愿意提供代理机构在招标文件中要求的所有资料。</w:t>
      </w:r>
    </w:p>
    <w:p>
      <w:pPr>
        <w:pStyle w:val="61"/>
        <w:spacing w:line="360" w:lineRule="exact"/>
        <w:rPr>
          <w:rFonts w:ascii="Times New Roman" w:hAnsi="Times New Roman"/>
          <w:color w:val="000000"/>
          <w:sz w:val="21"/>
          <w:szCs w:val="21"/>
        </w:rPr>
      </w:pPr>
      <w:r>
        <w:rPr>
          <w:rFonts w:ascii="Times New Roman" w:hAnsi="Times New Roman"/>
          <w:color w:val="000000"/>
          <w:sz w:val="21"/>
          <w:szCs w:val="21"/>
        </w:rPr>
        <w:t xml:space="preserve">    6.我们认为你们有权决定中标单位，还认为你们有权接受或拒绝所有的投标单位。</w:t>
      </w:r>
    </w:p>
    <w:p>
      <w:pPr>
        <w:pStyle w:val="61"/>
        <w:spacing w:line="360" w:lineRule="exact"/>
        <w:rPr>
          <w:rFonts w:ascii="Times New Roman" w:hAnsi="Times New Roman"/>
          <w:color w:val="000000"/>
          <w:sz w:val="21"/>
          <w:szCs w:val="21"/>
        </w:rPr>
      </w:pPr>
      <w:r>
        <w:rPr>
          <w:rFonts w:ascii="Times New Roman" w:hAnsi="Times New Roman"/>
          <w:color w:val="000000"/>
          <w:sz w:val="21"/>
          <w:szCs w:val="21"/>
        </w:rPr>
        <w:t xml:space="preserve">    7.我们愿意遵守招标标文件中所列的收费标准。</w:t>
      </w:r>
    </w:p>
    <w:p>
      <w:pPr>
        <w:pStyle w:val="61"/>
        <w:spacing w:line="360" w:lineRule="exact"/>
        <w:rPr>
          <w:rFonts w:ascii="Times New Roman" w:hAnsi="Times New Roman"/>
          <w:color w:val="000000"/>
          <w:sz w:val="21"/>
          <w:szCs w:val="21"/>
        </w:rPr>
      </w:pPr>
      <w:r>
        <w:rPr>
          <w:rFonts w:ascii="Times New Roman" w:hAnsi="Times New Roman"/>
          <w:color w:val="000000"/>
          <w:sz w:val="21"/>
          <w:szCs w:val="21"/>
        </w:rPr>
        <w:t xml:space="preserve">    8.我们承诺该投标文件在投标开始后的全过程中保持有效，不作任何更改和变动。</w:t>
      </w:r>
    </w:p>
    <w:p>
      <w:pPr>
        <w:pStyle w:val="61"/>
        <w:spacing w:line="360" w:lineRule="exact"/>
        <w:ind w:firstLine="480"/>
        <w:rPr>
          <w:rFonts w:ascii="Times New Roman" w:hAnsi="Times New Roman"/>
          <w:color w:val="000000"/>
          <w:sz w:val="21"/>
          <w:szCs w:val="21"/>
        </w:rPr>
      </w:pPr>
      <w:r>
        <w:rPr>
          <w:rFonts w:ascii="Times New Roman" w:hAnsi="Times New Roman"/>
          <w:color w:val="000000"/>
          <w:sz w:val="21"/>
          <w:szCs w:val="21"/>
        </w:rPr>
        <w:t>9.我们愿意按招标文件的规定交纳投标保证金，并同意投标单位须知中关于投标保证金不予退还的规定。</w:t>
      </w:r>
    </w:p>
    <w:p>
      <w:pPr>
        <w:pStyle w:val="61"/>
        <w:spacing w:line="360" w:lineRule="exact"/>
        <w:ind w:firstLine="480"/>
        <w:rPr>
          <w:rFonts w:ascii="Times New Roman" w:hAnsi="Times New Roman"/>
          <w:color w:val="000000"/>
          <w:sz w:val="21"/>
          <w:szCs w:val="21"/>
        </w:rPr>
      </w:pPr>
      <w:r>
        <w:rPr>
          <w:rFonts w:ascii="Times New Roman" w:hAnsi="Times New Roman"/>
          <w:color w:val="000000"/>
          <w:sz w:val="21"/>
          <w:szCs w:val="21"/>
        </w:rPr>
        <w:t>10.如果我们中标，我们愿意在签订合同时支付履约保证金，并按招标文件的规定支付中标服务费。</w:t>
      </w:r>
    </w:p>
    <w:p>
      <w:pPr>
        <w:pStyle w:val="62"/>
        <w:spacing w:line="360" w:lineRule="exact"/>
        <w:ind w:firstLine="401" w:firstLineChars="191"/>
        <w:rPr>
          <w:rFonts w:ascii="Times New Roman" w:hAnsi="Times New Roman" w:eastAsia="宋体"/>
          <w:color w:val="000000"/>
          <w:sz w:val="21"/>
          <w:szCs w:val="21"/>
        </w:rPr>
      </w:pPr>
      <w:r>
        <w:rPr>
          <w:rFonts w:ascii="Times New Roman" w:hAnsi="Times New Roman" w:eastAsia="宋体"/>
          <w:color w:val="000000"/>
          <w:sz w:val="21"/>
          <w:szCs w:val="21"/>
        </w:rPr>
        <w:t>11. 经我单位研究招标文件后，愿以人民币（含税）</w:t>
      </w:r>
      <w:r>
        <w:rPr>
          <w:rFonts w:ascii="Times New Roman" w:hAnsi="Times New Roman" w:eastAsia="宋体"/>
          <w:color w:val="000000"/>
          <w:sz w:val="21"/>
          <w:szCs w:val="21"/>
          <w:u w:val="single"/>
        </w:rPr>
        <w:t xml:space="preserve">       元 </w:t>
      </w:r>
      <w:r>
        <w:rPr>
          <w:rFonts w:ascii="Times New Roman" w:hAnsi="Times New Roman" w:eastAsia="宋体"/>
          <w:color w:val="000000"/>
          <w:sz w:val="21"/>
          <w:szCs w:val="21"/>
        </w:rPr>
        <w:t>（小写：</w:t>
      </w:r>
      <w:r>
        <w:rPr>
          <w:rFonts w:ascii="Times New Roman" w:hAnsi="Times New Roman" w:eastAsia="宋体"/>
          <w:color w:val="000000"/>
          <w:sz w:val="21"/>
          <w:szCs w:val="21"/>
          <w:u w:val="single"/>
        </w:rPr>
        <w:t xml:space="preserve">      元 </w:t>
      </w:r>
      <w:r>
        <w:rPr>
          <w:rFonts w:ascii="Times New Roman" w:hAnsi="Times New Roman" w:eastAsia="宋体"/>
          <w:color w:val="000000"/>
          <w:sz w:val="21"/>
          <w:szCs w:val="21"/>
        </w:rPr>
        <w:t>）报价，按招标文件要求承包本次招标范围内的全部工程。</w:t>
      </w:r>
    </w:p>
    <w:p>
      <w:pPr>
        <w:pStyle w:val="61"/>
        <w:spacing w:line="360" w:lineRule="exact"/>
        <w:rPr>
          <w:rFonts w:ascii="Times New Roman" w:hAnsi="Times New Roman"/>
          <w:sz w:val="21"/>
          <w:szCs w:val="21"/>
        </w:rPr>
      </w:pPr>
    </w:p>
    <w:p>
      <w:pPr>
        <w:pStyle w:val="61"/>
        <w:spacing w:line="360" w:lineRule="exact"/>
        <w:ind w:firstLine="405"/>
        <w:rPr>
          <w:rFonts w:ascii="Times New Roman" w:hAnsi="Times New Roman"/>
          <w:color w:val="000000"/>
          <w:sz w:val="21"/>
          <w:szCs w:val="21"/>
        </w:rPr>
      </w:pPr>
      <w:r>
        <w:rPr>
          <w:rFonts w:ascii="Times New Roman" w:hAnsi="Times New Roman"/>
          <w:color w:val="000000"/>
          <w:sz w:val="21"/>
          <w:szCs w:val="21"/>
        </w:rPr>
        <w:t>所有有关投标文件的函电，请按下列地址联系：</w:t>
      </w:r>
    </w:p>
    <w:p>
      <w:pPr>
        <w:pStyle w:val="19"/>
        <w:ind w:left="0" w:firstLine="405"/>
      </w:pPr>
    </w:p>
    <w:p>
      <w:pPr>
        <w:pStyle w:val="61"/>
        <w:spacing w:line="360" w:lineRule="exact"/>
        <w:rPr>
          <w:rFonts w:ascii="Times New Roman" w:hAnsi="Times New Roman"/>
          <w:color w:val="000000"/>
          <w:sz w:val="21"/>
          <w:szCs w:val="21"/>
        </w:rPr>
      </w:pPr>
      <w:r>
        <w:rPr>
          <w:rFonts w:ascii="Times New Roman" w:hAnsi="Times New Roman"/>
          <w:color w:val="000000"/>
          <w:sz w:val="21"/>
          <w:szCs w:val="21"/>
        </w:rPr>
        <w:t>投标单位：</w:t>
      </w:r>
    </w:p>
    <w:p>
      <w:pPr>
        <w:pStyle w:val="61"/>
        <w:spacing w:line="360" w:lineRule="exact"/>
        <w:rPr>
          <w:rFonts w:ascii="Times New Roman" w:hAnsi="Times New Roman"/>
          <w:color w:val="000000"/>
          <w:sz w:val="21"/>
          <w:szCs w:val="21"/>
        </w:rPr>
      </w:pPr>
      <w:r>
        <w:rPr>
          <w:rFonts w:ascii="Times New Roman" w:hAnsi="Times New Roman"/>
          <w:color w:val="000000"/>
          <w:sz w:val="21"/>
          <w:szCs w:val="21"/>
        </w:rPr>
        <w:t>联系人：</w:t>
      </w:r>
    </w:p>
    <w:p>
      <w:pPr>
        <w:pStyle w:val="61"/>
        <w:spacing w:line="360" w:lineRule="exact"/>
        <w:rPr>
          <w:rFonts w:ascii="Times New Roman" w:hAnsi="Times New Roman"/>
          <w:color w:val="000000"/>
          <w:sz w:val="21"/>
          <w:szCs w:val="21"/>
        </w:rPr>
      </w:pPr>
      <w:r>
        <w:rPr>
          <w:rFonts w:ascii="Times New Roman" w:hAnsi="Times New Roman"/>
          <w:color w:val="000000"/>
          <w:sz w:val="21"/>
          <w:szCs w:val="21"/>
        </w:rPr>
        <w:t>地址：                                      邮政编码：</w:t>
      </w:r>
    </w:p>
    <w:p>
      <w:pPr>
        <w:pStyle w:val="61"/>
        <w:spacing w:line="360" w:lineRule="exact"/>
        <w:rPr>
          <w:rFonts w:ascii="Times New Roman" w:hAnsi="Times New Roman"/>
          <w:color w:val="000000"/>
          <w:sz w:val="21"/>
          <w:szCs w:val="21"/>
        </w:rPr>
      </w:pPr>
      <w:r>
        <w:rPr>
          <w:rFonts w:ascii="Times New Roman" w:hAnsi="Times New Roman"/>
          <w:color w:val="000000"/>
          <w:sz w:val="21"/>
          <w:szCs w:val="21"/>
        </w:rPr>
        <w:t>联系电话：                                  传真：</w:t>
      </w:r>
    </w:p>
    <w:p>
      <w:pPr>
        <w:pStyle w:val="61"/>
        <w:spacing w:line="360" w:lineRule="exact"/>
        <w:ind w:left="3400" w:firstLine="525" w:firstLineChars="250"/>
        <w:rPr>
          <w:rFonts w:ascii="Times New Roman" w:hAnsi="Times New Roman"/>
          <w:color w:val="000000"/>
          <w:sz w:val="21"/>
          <w:szCs w:val="21"/>
        </w:rPr>
      </w:pPr>
      <w:r>
        <w:rPr>
          <w:rFonts w:ascii="Times New Roman" w:hAnsi="Times New Roman"/>
          <w:color w:val="000000"/>
          <w:sz w:val="21"/>
          <w:szCs w:val="21"/>
        </w:rPr>
        <w:t>投标单位（盖章）：</w:t>
      </w:r>
    </w:p>
    <w:p>
      <w:pPr>
        <w:pStyle w:val="61"/>
        <w:spacing w:line="360" w:lineRule="exact"/>
        <w:ind w:left="3825" w:firstLine="105" w:firstLineChars="50"/>
        <w:rPr>
          <w:rFonts w:ascii="Times New Roman" w:hAnsi="Times New Roman"/>
          <w:color w:val="000000"/>
          <w:sz w:val="21"/>
          <w:szCs w:val="21"/>
        </w:rPr>
      </w:pPr>
      <w:r>
        <w:rPr>
          <w:rFonts w:ascii="Times New Roman" w:hAnsi="Times New Roman"/>
          <w:color w:val="000000"/>
          <w:sz w:val="21"/>
          <w:szCs w:val="21"/>
        </w:rPr>
        <w:t>法定代表人或代理人（签字或盖章）：</w:t>
      </w:r>
    </w:p>
    <w:p>
      <w:pPr>
        <w:pStyle w:val="61"/>
        <w:spacing w:line="360" w:lineRule="exact"/>
        <w:ind w:firstLine="4620"/>
        <w:rPr>
          <w:rFonts w:ascii="Times New Roman" w:hAnsi="Times New Roman"/>
          <w:color w:val="000000"/>
          <w:sz w:val="21"/>
          <w:szCs w:val="21"/>
        </w:rPr>
      </w:pPr>
      <w:r>
        <w:rPr>
          <w:rFonts w:ascii="Times New Roman" w:hAnsi="Times New Roman"/>
          <w:color w:val="000000"/>
          <w:sz w:val="21"/>
          <w:szCs w:val="21"/>
        </w:rPr>
        <w:t>年     月     日</w:t>
      </w:r>
    </w:p>
    <w:p>
      <w:pPr>
        <w:pStyle w:val="19"/>
      </w:pPr>
    </w:p>
    <w:bookmarkEnd w:id="9"/>
    <w:bookmarkEnd w:id="10"/>
    <w:bookmarkEnd w:id="11"/>
    <w:bookmarkEnd w:id="12"/>
    <w:bookmarkEnd w:id="13"/>
    <w:bookmarkEnd w:id="14"/>
    <w:bookmarkEnd w:id="15"/>
    <w:p>
      <w:pPr>
        <w:pStyle w:val="59"/>
        <w:spacing w:line="360" w:lineRule="exact"/>
        <w:outlineLvl w:val="1"/>
        <w:rPr>
          <w:rFonts w:ascii="Times New Roman" w:hAnsi="Times New Roman"/>
          <w:b/>
          <w:sz w:val="28"/>
          <w:szCs w:val="28"/>
        </w:rPr>
      </w:pPr>
      <w:bookmarkStart w:id="16" w:name="_Toc331056450"/>
      <w:bookmarkStart w:id="17" w:name="_Toc322436238"/>
      <w:bookmarkStart w:id="18" w:name="_Toc322435833"/>
      <w:bookmarkStart w:id="19" w:name="_Toc322436003"/>
      <w:bookmarkStart w:id="20" w:name="_Toc330998562"/>
      <w:bookmarkStart w:id="21" w:name="_Toc331061671"/>
      <w:bookmarkStart w:id="22" w:name="_Toc322436058"/>
    </w:p>
    <w:p>
      <w:pPr>
        <w:pStyle w:val="59"/>
        <w:spacing w:line="360" w:lineRule="exact"/>
        <w:outlineLvl w:val="1"/>
        <w:rPr>
          <w:rFonts w:ascii="Times New Roman" w:hAnsi="Times New Roman"/>
          <w:b/>
          <w:sz w:val="28"/>
          <w:szCs w:val="28"/>
        </w:rPr>
      </w:pPr>
    </w:p>
    <w:p>
      <w:pPr>
        <w:pStyle w:val="59"/>
        <w:spacing w:line="360" w:lineRule="exact"/>
        <w:outlineLvl w:val="1"/>
        <w:rPr>
          <w:rFonts w:ascii="Times New Roman" w:hAnsi="Times New Roman"/>
          <w:b/>
          <w:sz w:val="28"/>
          <w:szCs w:val="28"/>
        </w:rPr>
      </w:pPr>
      <w:r>
        <w:rPr>
          <w:rFonts w:ascii="Times New Roman" w:hAnsi="Times New Roman"/>
          <w:b/>
          <w:sz w:val="28"/>
          <w:szCs w:val="28"/>
        </w:rPr>
        <w:t>附件二</w:t>
      </w:r>
      <w:r>
        <w:rPr>
          <w:rFonts w:ascii="Times New Roman" w:hAnsi="Times New Roman"/>
          <w:sz w:val="28"/>
          <w:szCs w:val="28"/>
        </w:rPr>
        <w:t>：</w:t>
      </w:r>
      <w:bookmarkEnd w:id="16"/>
      <w:bookmarkEnd w:id="17"/>
      <w:bookmarkEnd w:id="18"/>
      <w:bookmarkEnd w:id="19"/>
      <w:bookmarkEnd w:id="20"/>
      <w:bookmarkEnd w:id="21"/>
      <w:bookmarkEnd w:id="22"/>
      <w:r>
        <w:rPr>
          <w:rFonts w:ascii="Times New Roman" w:hAnsi="Times New Roman"/>
          <w:b/>
          <w:sz w:val="28"/>
          <w:szCs w:val="28"/>
        </w:rPr>
        <w:t>法定代表人资格证明书及授权委托书</w:t>
      </w:r>
    </w:p>
    <w:p/>
    <w:p>
      <w:pPr>
        <w:spacing w:line="360" w:lineRule="auto"/>
        <w:jc w:val="center"/>
        <w:rPr>
          <w:b/>
          <w:sz w:val="32"/>
          <w:szCs w:val="32"/>
        </w:rPr>
      </w:pPr>
      <w:bookmarkStart w:id="23" w:name="_Toc18209_WPSOffice_Level1"/>
      <w:r>
        <w:rPr>
          <w:b/>
          <w:sz w:val="28"/>
          <w:szCs w:val="28"/>
        </w:rPr>
        <w:t>法定代表人资格证明书</w:t>
      </w:r>
      <w:bookmarkEnd w:id="23"/>
    </w:p>
    <w:tbl>
      <w:tblPr>
        <w:tblStyle w:val="23"/>
        <w:tblpPr w:leftFromText="180" w:rightFromText="180" w:vertAnchor="text" w:horzAnchor="page" w:tblpX="1801" w:tblpY="323"/>
        <w:tblOverlap w:val="never"/>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sz w:val="24"/>
              </w:rPr>
            </w:pPr>
            <w:r>
              <w:rPr>
                <w:sz w:val="24"/>
              </w:rPr>
              <w:t>单位名称</w:t>
            </w:r>
          </w:p>
        </w:tc>
        <w:tc>
          <w:tcPr>
            <w:tcW w:w="6903" w:type="dxa"/>
            <w:gridSpan w:val="5"/>
            <w:vAlign w:val="center"/>
          </w:tcPr>
          <w:p>
            <w:pPr>
              <w:spacing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sz w:val="24"/>
              </w:rPr>
            </w:pPr>
            <w:r>
              <w:rPr>
                <w:sz w:val="24"/>
              </w:rPr>
              <w:t>注册地址</w:t>
            </w:r>
          </w:p>
        </w:tc>
        <w:tc>
          <w:tcPr>
            <w:tcW w:w="6903" w:type="dxa"/>
            <w:gridSpan w:val="5"/>
            <w:vAlign w:val="center"/>
          </w:tcPr>
          <w:p>
            <w:pPr>
              <w:spacing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sz w:val="24"/>
              </w:rPr>
            </w:pPr>
            <w:r>
              <w:rPr>
                <w:sz w:val="24"/>
              </w:rPr>
              <w:t>法人姓名</w:t>
            </w:r>
          </w:p>
        </w:tc>
        <w:tc>
          <w:tcPr>
            <w:tcW w:w="2229" w:type="dxa"/>
            <w:vAlign w:val="center"/>
          </w:tcPr>
          <w:p>
            <w:pPr>
              <w:spacing w:line="360" w:lineRule="auto"/>
              <w:jc w:val="center"/>
              <w:rPr>
                <w:sz w:val="24"/>
              </w:rPr>
            </w:pPr>
          </w:p>
        </w:tc>
        <w:tc>
          <w:tcPr>
            <w:tcW w:w="1189" w:type="dxa"/>
            <w:vAlign w:val="center"/>
          </w:tcPr>
          <w:p>
            <w:pPr>
              <w:spacing w:line="360" w:lineRule="auto"/>
              <w:jc w:val="center"/>
              <w:rPr>
                <w:sz w:val="24"/>
              </w:rPr>
            </w:pPr>
            <w:r>
              <w:rPr>
                <w:sz w:val="24"/>
              </w:rPr>
              <w:t>性别</w:t>
            </w:r>
          </w:p>
        </w:tc>
        <w:tc>
          <w:tcPr>
            <w:tcW w:w="1232" w:type="dxa"/>
            <w:vAlign w:val="center"/>
          </w:tcPr>
          <w:p>
            <w:pPr>
              <w:spacing w:line="360" w:lineRule="auto"/>
              <w:jc w:val="center"/>
              <w:rPr>
                <w:sz w:val="24"/>
              </w:rPr>
            </w:pPr>
          </w:p>
        </w:tc>
        <w:tc>
          <w:tcPr>
            <w:tcW w:w="847" w:type="dxa"/>
            <w:vAlign w:val="center"/>
          </w:tcPr>
          <w:p>
            <w:pPr>
              <w:spacing w:line="360" w:lineRule="auto"/>
              <w:jc w:val="center"/>
              <w:rPr>
                <w:sz w:val="24"/>
              </w:rPr>
            </w:pPr>
            <w:r>
              <w:rPr>
                <w:sz w:val="24"/>
              </w:rPr>
              <w:t>年龄</w:t>
            </w:r>
          </w:p>
        </w:tc>
        <w:tc>
          <w:tcPr>
            <w:tcW w:w="1406" w:type="dxa"/>
            <w:vAlign w:val="center"/>
          </w:tcPr>
          <w:p>
            <w:pPr>
              <w:spacing w:line="360"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80" w:firstLineChars="200"/>
              <w:rPr>
                <w:sz w:val="24"/>
              </w:rPr>
            </w:pPr>
            <w:r>
              <w:rPr>
                <w:sz w:val="24"/>
                <w:u w:val="single"/>
              </w:rPr>
              <w:t>（法人姓名）</w:t>
            </w:r>
            <w:r>
              <w:rPr>
                <w:sz w:val="24"/>
              </w:rPr>
              <w:t>系</w:t>
            </w:r>
            <w:r>
              <w:rPr>
                <w:sz w:val="24"/>
                <w:u w:val="single"/>
              </w:rPr>
              <w:t xml:space="preserve">   （单位名称）    </w:t>
            </w:r>
            <w:r>
              <w:rPr>
                <w:sz w:val="24"/>
              </w:rPr>
              <w:t xml:space="preserve">的法定代表人。为实施 </w:t>
            </w:r>
            <w:r>
              <w:rPr>
                <w:sz w:val="24"/>
                <w:u w:val="single"/>
              </w:rPr>
              <w:t xml:space="preserve">           项目（编号：      ）</w:t>
            </w:r>
            <w:r>
              <w:rPr>
                <w:sz w:val="24"/>
              </w:rPr>
              <w:t>的工作，签署本项目的响应文件、进行合同谈判、签署合同和处理与之有关的一切事务。</w:t>
            </w:r>
          </w:p>
          <w:p>
            <w:pPr>
              <w:spacing w:line="360" w:lineRule="auto"/>
              <w:ind w:firstLine="480" w:firstLineChars="200"/>
              <w:rPr>
                <w:sz w:val="24"/>
              </w:rPr>
            </w:pPr>
            <w:r>
              <w:rPr>
                <w:sz w:val="24"/>
              </w:rPr>
              <w:t>特此证明。</w:t>
            </w:r>
          </w:p>
        </w:tc>
      </w:tr>
    </w:tbl>
    <w:p>
      <w:pPr>
        <w:spacing w:line="360" w:lineRule="auto"/>
        <w:rPr>
          <w:szCs w:val="21"/>
        </w:rPr>
      </w:pPr>
    </w:p>
    <w:p>
      <w:pPr>
        <w:spacing w:line="360" w:lineRule="auto"/>
        <w:rPr>
          <w:sz w:val="24"/>
        </w:rPr>
      </w:pPr>
      <w:r>
        <w:rPr>
          <w:szCs w:val="21"/>
        </w:rPr>
        <w:t>                </w:t>
      </w:r>
      <w:r>
        <w:rPr>
          <w:sz w:val="24"/>
        </w:rPr>
        <w:t> 投标单位：（公章）</w:t>
      </w:r>
    </w:p>
    <w:p>
      <w:pPr>
        <w:spacing w:line="360" w:lineRule="auto"/>
        <w:rPr>
          <w:sz w:val="24"/>
        </w:rPr>
      </w:pPr>
      <w:r>
        <w:rPr>
          <w:sz w:val="24"/>
        </w:rPr>
        <w:t>                 法定代表人签字或盖章：</w:t>
      </w:r>
    </w:p>
    <w:p>
      <w:pPr>
        <w:spacing w:line="360" w:lineRule="auto"/>
        <w:ind w:firstLine="3600" w:firstLineChars="1500"/>
        <w:rPr>
          <w:szCs w:val="21"/>
        </w:rPr>
      </w:pPr>
      <w:r>
        <w:rPr>
          <w:sz w:val="24"/>
        </w:rPr>
        <w:t>日期：    年    月    日</w:t>
      </w:r>
    </w:p>
    <w:p>
      <w:pPr>
        <w:tabs>
          <w:tab w:val="left" w:pos="6045"/>
        </w:tabs>
        <w:snapToGrid w:val="0"/>
        <w:spacing w:line="360" w:lineRule="auto"/>
        <w:ind w:left="210" w:hanging="210" w:hangingChars="100"/>
        <w:rPr>
          <w:szCs w:val="21"/>
        </w:rPr>
      </w:pPr>
    </w:p>
    <w:p>
      <w:pPr>
        <w:snapToGrid w:val="0"/>
        <w:spacing w:line="360" w:lineRule="auto"/>
        <w:rPr>
          <w:b/>
          <w:szCs w:val="21"/>
        </w:rPr>
      </w:pPr>
      <w:r>
        <w:rPr>
          <w:szCs w:val="21"/>
        </w:rPr>
        <w:t> </w:t>
      </w:r>
    </w:p>
    <w:p>
      <w:pPr>
        <w:spacing w:line="360" w:lineRule="auto"/>
        <w:rPr>
          <w:szCs w:val="21"/>
        </w:rPr>
      </w:pPr>
      <w:r>
        <w:rPr>
          <w:szCs w:val="21"/>
        </w:rPr>
        <w:t>法定代表人身份证复印件：</w:t>
      </w:r>
    </w:p>
    <w:p>
      <w:pPr>
        <w:spacing w:line="360" w:lineRule="auto"/>
        <w:rPr>
          <w:szCs w:val="21"/>
        </w:rPr>
      </w:pPr>
      <w:r>
        <w:rPr>
          <w:szCs w:val="21"/>
        </w:rPr>
        <w:t>（黏贴后加盖骑缝公章）</w:t>
      </w:r>
    </w:p>
    <w:p>
      <w:pPr>
        <w:spacing w:line="360" w:lineRule="auto"/>
        <w:rPr>
          <w:szCs w:val="21"/>
        </w:rPr>
      </w:pPr>
    </w:p>
    <w:p>
      <w:pPr>
        <w:snapToGrid w:val="0"/>
        <w:spacing w:line="360" w:lineRule="auto"/>
        <w:jc w:val="center"/>
        <w:rPr>
          <w:b/>
          <w:sz w:val="24"/>
          <w:szCs w:val="28"/>
        </w:rPr>
      </w:pPr>
      <w:r>
        <w:rPr>
          <w:sz w:val="24"/>
        </w:rPr>
        <mc:AlternateContent>
          <mc:Choice Requires="wps">
            <w:drawing>
              <wp:anchor distT="0" distB="0" distL="114300" distR="114300" simplePos="0" relativeHeight="251661312" behindDoc="0" locked="0" layoutInCell="1" allowOverlap="1">
                <wp:simplePos x="0" y="0"/>
                <wp:positionH relativeFrom="column">
                  <wp:posOffset>2322830</wp:posOffset>
                </wp:positionH>
                <wp:positionV relativeFrom="paragraph">
                  <wp:posOffset>231775</wp:posOffset>
                </wp:positionV>
                <wp:extent cx="596265" cy="977265"/>
                <wp:effectExtent l="0" t="0" r="13335" b="13335"/>
                <wp:wrapNone/>
                <wp:docPr id="147" name="文本框 147"/>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2.9pt;margin-top:18.25pt;height:76.95pt;width:46.95pt;z-index:251661312;mso-width-relative:page;mso-height-relative:page;" fillcolor="#FFFFFF" filled="t" stroked="f" coordsize="21600,21600" o:gfxdata="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VQiU9gAAAAKAQAADwAAAAAAAAABACAAAAAiAAAAZHJzL2Rvd25y&#10;ZXYueG1sUEsBAhQAFAAAAAgAh07iQMDGYWb+AQAADwQAAA4AAAAAAAAAAQAgAAAAJwEAAGRycy9l&#10;Mm9Eb2MueG1sUEsFBgAAAAAGAAYAWQEAAJcFA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b/>
          <w:sz w:val="24"/>
          <w:szCs w:val="28"/>
        </w:rPr>
        <w:drawing>
          <wp:inline distT="0" distB="0" distL="114300" distR="114300">
            <wp:extent cx="5139690" cy="1373505"/>
            <wp:effectExtent l="0" t="0" r="11430" b="13335"/>
            <wp:docPr id="14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descr="图片1"/>
                    <pic:cNvPicPr>
                      <a:picLocks noChangeAspect="1"/>
                    </pic:cNvPicPr>
                  </pic:nvPicPr>
                  <pic:blipFill>
                    <a:blip r:embed="rId6"/>
                    <a:stretch>
                      <a:fillRect/>
                    </a:stretch>
                  </pic:blipFill>
                  <pic:spPr>
                    <a:xfrm>
                      <a:off x="0" y="0"/>
                      <a:ext cx="5139690" cy="1373505"/>
                    </a:xfrm>
                    <a:prstGeom prst="rect">
                      <a:avLst/>
                    </a:prstGeom>
                    <a:noFill/>
                    <a:ln>
                      <a:noFill/>
                    </a:ln>
                  </pic:spPr>
                </pic:pic>
              </a:graphicData>
            </a:graphic>
          </wp:inline>
        </w:drawing>
      </w:r>
    </w:p>
    <w:p>
      <w:pPr>
        <w:spacing w:line="400" w:lineRule="exact"/>
        <w:rPr>
          <w:b/>
          <w:bCs/>
          <w:szCs w:val="21"/>
        </w:rPr>
      </w:pPr>
      <w:r>
        <w:rPr>
          <w:b/>
          <w:bCs/>
          <w:szCs w:val="21"/>
        </w:rPr>
        <w:t>注：</w:t>
      </w:r>
    </w:p>
    <w:p>
      <w:pPr>
        <w:spacing w:line="400" w:lineRule="exact"/>
        <w:rPr>
          <w:b/>
          <w:bCs/>
          <w:szCs w:val="21"/>
        </w:rPr>
      </w:pPr>
      <w:r>
        <w:rPr>
          <w:b/>
          <w:bCs/>
          <w:szCs w:val="21"/>
        </w:rPr>
        <w:t>1、身份证复印件信息必须清晰可辨，如因清晰度不够引起的一切后果由投标单位自行承担。</w:t>
      </w:r>
    </w:p>
    <w:p>
      <w:pPr>
        <w:spacing w:line="400" w:lineRule="exact"/>
        <w:rPr>
          <w:sz w:val="24"/>
        </w:rPr>
      </w:pPr>
      <w:r>
        <w:rPr>
          <w:b/>
          <w:bCs/>
          <w:szCs w:val="21"/>
        </w:rPr>
        <w:t>2、法定代表人参加开标会议时，须携带并按要求提交本人身份证原件。</w:t>
      </w:r>
    </w:p>
    <w:p>
      <w:pPr>
        <w:pageBreakBefore/>
        <w:spacing w:line="360" w:lineRule="auto"/>
        <w:outlineLvl w:val="1"/>
        <w:rPr>
          <w:b/>
          <w:color w:val="000000"/>
          <w:sz w:val="28"/>
          <w:szCs w:val="28"/>
        </w:rPr>
      </w:pPr>
      <w:r>
        <w:rPr>
          <w:b/>
          <w:color w:val="000000"/>
          <w:sz w:val="28"/>
          <w:szCs w:val="28"/>
        </w:rPr>
        <w:t>授权委托书</w:t>
      </w:r>
    </w:p>
    <w:p>
      <w:pPr>
        <w:pStyle w:val="60"/>
        <w:spacing w:line="360" w:lineRule="exact"/>
        <w:jc w:val="center"/>
        <w:rPr>
          <w:rFonts w:ascii="Times New Roman" w:hAnsi="Times New Roman"/>
          <w:b/>
          <w:sz w:val="32"/>
        </w:rPr>
      </w:pPr>
      <w:r>
        <w:rPr>
          <w:rFonts w:ascii="Times New Roman" w:hAnsi="Times New Roman"/>
          <w:b/>
          <w:sz w:val="32"/>
        </w:rPr>
        <w:t>授权委托书</w:t>
      </w:r>
    </w:p>
    <w:p>
      <w:pPr>
        <w:pStyle w:val="19"/>
      </w:pPr>
    </w:p>
    <w:p>
      <w:pPr>
        <w:adjustRightInd w:val="0"/>
        <w:snapToGrid w:val="0"/>
        <w:spacing w:line="480" w:lineRule="exact"/>
        <w:ind w:firstLine="451" w:firstLineChars="215"/>
        <w:rPr>
          <w:szCs w:val="21"/>
        </w:rPr>
      </w:pPr>
      <w:r>
        <w:rPr>
          <w:szCs w:val="21"/>
        </w:rPr>
        <w:t>本授权委托书声明：本人 ___________(姓名)系_________________（投标单位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szCs w:val="21"/>
        </w:rPr>
      </w:pPr>
      <w:r>
        <w:rPr>
          <w:szCs w:val="21"/>
        </w:rPr>
        <w:t>本授权书于__________年_______月________日起签字生效，特此声明。</w:t>
      </w:r>
    </w:p>
    <w:p>
      <w:pPr>
        <w:adjustRightInd w:val="0"/>
        <w:snapToGrid w:val="0"/>
        <w:spacing w:line="480" w:lineRule="exact"/>
        <w:ind w:firstLine="397"/>
        <w:rPr>
          <w:szCs w:val="21"/>
        </w:rPr>
      </w:pPr>
      <w:r>
        <w:rPr>
          <w:szCs w:val="21"/>
        </w:rPr>
        <w:t>被授权人情况如下（必填）：</w:t>
      </w:r>
    </w:p>
    <w:p>
      <w:pPr>
        <w:adjustRightInd w:val="0"/>
        <w:snapToGrid w:val="0"/>
        <w:spacing w:line="480" w:lineRule="exact"/>
        <w:ind w:firstLine="397"/>
        <w:rPr>
          <w:szCs w:val="21"/>
        </w:rPr>
      </w:pPr>
      <w:r>
        <w:rPr>
          <w:szCs w:val="21"/>
        </w:rPr>
        <w:t>姓名：</w:t>
      </w:r>
      <w:r>
        <w:rPr>
          <w:szCs w:val="21"/>
          <w:u w:val="single"/>
        </w:rPr>
        <w:t xml:space="preserve">          </w:t>
      </w:r>
      <w:r>
        <w:rPr>
          <w:szCs w:val="21"/>
        </w:rPr>
        <w:t xml:space="preserve"> ；性别：</w:t>
      </w:r>
      <w:r>
        <w:rPr>
          <w:szCs w:val="21"/>
          <w:u w:val="single"/>
        </w:rPr>
        <w:t xml:space="preserve">       </w:t>
      </w:r>
      <w:r>
        <w:rPr>
          <w:szCs w:val="21"/>
        </w:rPr>
        <w:t xml:space="preserve"> ；联系电话：</w:t>
      </w:r>
      <w:r>
        <w:rPr>
          <w:szCs w:val="21"/>
          <w:u w:val="single"/>
        </w:rPr>
        <w:t xml:space="preserve">               </w:t>
      </w:r>
      <w:r>
        <w:rPr>
          <w:szCs w:val="21"/>
        </w:rPr>
        <w:t xml:space="preserve"> ；</w:t>
      </w:r>
    </w:p>
    <w:p>
      <w:pPr>
        <w:adjustRightInd w:val="0"/>
        <w:snapToGrid w:val="0"/>
        <w:spacing w:line="480" w:lineRule="exact"/>
        <w:ind w:firstLine="397"/>
        <w:rPr>
          <w:szCs w:val="21"/>
        </w:rPr>
      </w:pPr>
      <w:r>
        <w:rPr>
          <w:szCs w:val="21"/>
        </w:rPr>
        <w:t>身份证号码：</w:t>
      </w:r>
      <w:r>
        <w:rPr>
          <w:szCs w:val="21"/>
          <w:u w:val="single"/>
        </w:rPr>
        <w:t xml:space="preserve">                             </w:t>
      </w:r>
      <w:r>
        <w:rPr>
          <w:szCs w:val="21"/>
        </w:rPr>
        <w:t xml:space="preserve"> 。</w:t>
      </w:r>
    </w:p>
    <w:p>
      <w:pPr>
        <w:adjustRightInd w:val="0"/>
        <w:snapToGrid w:val="0"/>
        <w:spacing w:line="480" w:lineRule="exact"/>
        <w:ind w:firstLine="397"/>
        <w:rPr>
          <w:szCs w:val="21"/>
        </w:rPr>
      </w:pPr>
      <w:r>
        <w:rPr>
          <w:b/>
          <w:bCs/>
          <w:szCs w:val="21"/>
        </w:rPr>
        <w:t>被授权人签字</w:t>
      </w:r>
      <w:r>
        <w:rPr>
          <w:szCs w:val="21"/>
        </w:rPr>
        <w:t>：</w:t>
      </w:r>
      <w:r>
        <w:rPr>
          <w:szCs w:val="21"/>
          <w:u w:val="single"/>
        </w:rPr>
        <w:t xml:space="preserve">             </w:t>
      </w:r>
      <w:r>
        <w:rPr>
          <w:szCs w:val="21"/>
        </w:rPr>
        <w:t xml:space="preserve"> 。</w:t>
      </w:r>
    </w:p>
    <w:p>
      <w:pPr>
        <w:adjustRightInd w:val="0"/>
        <w:snapToGrid w:val="0"/>
        <w:spacing w:line="360" w:lineRule="auto"/>
        <w:rPr>
          <w:sz w:val="24"/>
        </w:rPr>
      </w:pPr>
    </w:p>
    <w:p>
      <w:pPr>
        <w:spacing w:line="360" w:lineRule="auto"/>
        <w:ind w:firstLine="4620" w:firstLineChars="2200"/>
        <w:rPr>
          <w:szCs w:val="21"/>
        </w:rPr>
      </w:pPr>
      <w:r>
        <w:rPr>
          <w:szCs w:val="21"/>
        </w:rPr>
        <w:t>投标单位名称：（公章）</w:t>
      </w:r>
    </w:p>
    <w:p>
      <w:pPr>
        <w:spacing w:line="360" w:lineRule="auto"/>
        <w:ind w:firstLine="4620" w:firstLineChars="2200"/>
        <w:rPr>
          <w:szCs w:val="21"/>
        </w:rPr>
      </w:pPr>
    </w:p>
    <w:p>
      <w:pPr>
        <w:spacing w:line="360" w:lineRule="auto"/>
        <w:ind w:firstLine="4620" w:firstLineChars="2200"/>
        <w:rPr>
          <w:szCs w:val="21"/>
        </w:rPr>
      </w:pPr>
      <w:r>
        <w:rPr>
          <w:szCs w:val="21"/>
        </w:rPr>
        <w:t>法定代表人签字或盖章：</w:t>
      </w:r>
    </w:p>
    <w:p>
      <w:pPr>
        <w:spacing w:line="360" w:lineRule="auto"/>
        <w:rPr>
          <w:szCs w:val="21"/>
        </w:rPr>
      </w:pPr>
    </w:p>
    <w:p>
      <w:pPr>
        <w:spacing w:line="360" w:lineRule="auto"/>
        <w:rPr>
          <w:szCs w:val="21"/>
        </w:rPr>
      </w:pPr>
      <w:r>
        <w:rPr>
          <w:szCs w:val="21"/>
        </w:rPr>
        <w:t>被授权人身份证复印件：</w:t>
      </w:r>
    </w:p>
    <w:p>
      <w:pPr>
        <w:spacing w:line="360" w:lineRule="auto"/>
        <w:rPr>
          <w:szCs w:val="21"/>
        </w:rPr>
      </w:pPr>
      <w:r>
        <w:rPr>
          <w:szCs w:val="21"/>
        </w:rPr>
        <w:t>（黏贴后加盖骑缝公章）</w:t>
      </w:r>
    </w:p>
    <w:p>
      <w:pPr>
        <w:spacing w:line="360" w:lineRule="auto"/>
        <w:rPr>
          <w:szCs w:val="21"/>
        </w:rPr>
      </w:pPr>
    </w:p>
    <w:p>
      <w:pPr>
        <w:snapToGrid w:val="0"/>
        <w:spacing w:line="360" w:lineRule="auto"/>
        <w:jc w:val="center"/>
        <w:rPr>
          <w:szCs w:val="21"/>
        </w:rPr>
      </w:pPr>
      <w:r>
        <w:rPr>
          <w:sz w:val="24"/>
        </w:rPr>
        <mc:AlternateContent>
          <mc:Choice Requires="wps">
            <w:drawing>
              <wp:anchor distT="0" distB="0" distL="114300" distR="114300" simplePos="0" relativeHeight="251662336" behindDoc="0" locked="0" layoutInCell="1" allowOverlap="1">
                <wp:simplePos x="0" y="0"/>
                <wp:positionH relativeFrom="column">
                  <wp:posOffset>2367280</wp:posOffset>
                </wp:positionH>
                <wp:positionV relativeFrom="paragraph">
                  <wp:posOffset>278765</wp:posOffset>
                </wp:positionV>
                <wp:extent cx="596265" cy="977265"/>
                <wp:effectExtent l="0" t="0" r="13335" b="13335"/>
                <wp:wrapNone/>
                <wp:docPr id="149" name="文本框 149"/>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6.4pt;margin-top:21.95pt;height:76.95pt;width:46.95pt;z-index:251662336;mso-width-relative:page;mso-height-relative:page;" fillcolor="#FFFFFF" filled="t" stroked="f" coordsize="21600,21600" o:gfxdata="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C8PR1wAAAAoBAAAPAAAAAAAAAAEAIAAAACIAAABkcnMvZG93bnJl&#10;di54bWxQSwECFAAUAAAACACHTuJABw63cf4BAAAPBAAADgAAAAAAAAABACAAAAAmAQAAZHJzL2Uy&#10;b0RvYy54bWxQSwUGAAAAAAYABgBZAQAAlgU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b/>
          <w:sz w:val="24"/>
          <w:szCs w:val="28"/>
        </w:rPr>
        <w:drawing>
          <wp:inline distT="0" distB="0" distL="114300" distR="114300">
            <wp:extent cx="5380355" cy="1437640"/>
            <wp:effectExtent l="0" t="0" r="14605" b="10160"/>
            <wp:docPr id="15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descr="图片1"/>
                    <pic:cNvPicPr>
                      <a:picLocks noChangeAspect="1"/>
                    </pic:cNvPicPr>
                  </pic:nvPicPr>
                  <pic:blipFill>
                    <a:blip r:embed="rId6"/>
                    <a:stretch>
                      <a:fillRect/>
                    </a:stretch>
                  </pic:blipFill>
                  <pic:spPr>
                    <a:xfrm>
                      <a:off x="0" y="0"/>
                      <a:ext cx="5380355" cy="1437640"/>
                    </a:xfrm>
                    <a:prstGeom prst="rect">
                      <a:avLst/>
                    </a:prstGeom>
                    <a:noFill/>
                    <a:ln>
                      <a:noFill/>
                    </a:ln>
                  </pic:spPr>
                </pic:pic>
              </a:graphicData>
            </a:graphic>
          </wp:inline>
        </w:drawing>
      </w:r>
    </w:p>
    <w:p>
      <w:pPr>
        <w:spacing w:line="360" w:lineRule="auto"/>
        <w:rPr>
          <w:szCs w:val="21"/>
        </w:rPr>
      </w:pPr>
      <w:r>
        <w:rPr>
          <w:szCs w:val="21"/>
        </w:rPr>
        <w:t>注：</w:t>
      </w:r>
    </w:p>
    <w:p>
      <w:pPr>
        <w:rPr>
          <w:b/>
          <w:bCs/>
          <w:szCs w:val="21"/>
        </w:rPr>
      </w:pPr>
      <w:r>
        <w:rPr>
          <w:b/>
          <w:bCs/>
          <w:szCs w:val="21"/>
        </w:rPr>
        <w:t>1、被授权人参加开标会议时，须携带并按要求提交授权委托书和本人身份证原件。</w:t>
      </w:r>
    </w:p>
    <w:p>
      <w:pPr>
        <w:rPr>
          <w:sz w:val="24"/>
        </w:rPr>
      </w:pPr>
      <w:r>
        <w:rPr>
          <w:b/>
          <w:bCs/>
          <w:szCs w:val="21"/>
        </w:rPr>
        <w:t>2、身份证复印件信息必须清晰可辨，如因清晰度不够引起的一切后果由投标单位自行承担。</w:t>
      </w:r>
    </w:p>
    <w:p>
      <w:pPr>
        <w:spacing w:line="520" w:lineRule="exact"/>
        <w:rPr>
          <w:sz w:val="28"/>
          <w:szCs w:val="28"/>
        </w:rPr>
      </w:pPr>
    </w:p>
    <w:p>
      <w:pPr>
        <w:spacing w:line="520" w:lineRule="exact"/>
        <w:ind w:firstLine="560" w:firstLineChars="200"/>
        <w:rPr>
          <w:sz w:val="28"/>
          <w:szCs w:val="28"/>
        </w:rPr>
      </w:pPr>
    </w:p>
    <w:p>
      <w:pPr>
        <w:spacing w:line="520" w:lineRule="exact"/>
        <w:ind w:firstLine="560" w:firstLineChars="200"/>
        <w:rPr>
          <w:sz w:val="28"/>
          <w:szCs w:val="28"/>
        </w:rPr>
      </w:pPr>
    </w:p>
    <w:p>
      <w:pPr>
        <w:pStyle w:val="4"/>
        <w:spacing w:line="520" w:lineRule="exact"/>
        <w:rPr>
          <w:sz w:val="28"/>
          <w:szCs w:val="28"/>
        </w:rPr>
      </w:pPr>
      <w:bookmarkStart w:id="24" w:name="_Toc331061672"/>
      <w:bookmarkStart w:id="25" w:name="_Toc322436004"/>
      <w:bookmarkStart w:id="26" w:name="_Toc322436059"/>
      <w:bookmarkStart w:id="27" w:name="_Toc322435834"/>
      <w:bookmarkStart w:id="28" w:name="_Toc330998563"/>
      <w:bookmarkStart w:id="29" w:name="_Toc322436239"/>
      <w:bookmarkStart w:id="30" w:name="_Toc331056451"/>
      <w:r>
        <w:rPr>
          <w:sz w:val="28"/>
          <w:szCs w:val="28"/>
        </w:rPr>
        <w:t>附件三：开标一览表</w:t>
      </w:r>
      <w:bookmarkEnd w:id="24"/>
      <w:bookmarkEnd w:id="25"/>
      <w:bookmarkEnd w:id="26"/>
      <w:bookmarkEnd w:id="27"/>
      <w:bookmarkEnd w:id="28"/>
      <w:bookmarkEnd w:id="29"/>
      <w:bookmarkEnd w:id="30"/>
      <w:r>
        <w:rPr>
          <w:sz w:val="28"/>
          <w:szCs w:val="28"/>
        </w:rPr>
        <w:t>、分项报价表</w:t>
      </w:r>
    </w:p>
    <w:p>
      <w:pPr>
        <w:spacing w:line="520" w:lineRule="exact"/>
        <w:ind w:firstLine="602" w:firstLineChars="200"/>
        <w:jc w:val="center"/>
        <w:rPr>
          <w:b/>
          <w:bCs/>
          <w:sz w:val="30"/>
          <w:szCs w:val="30"/>
        </w:rPr>
      </w:pPr>
      <w:r>
        <w:rPr>
          <w:b/>
          <w:bCs/>
          <w:sz w:val="30"/>
          <w:szCs w:val="30"/>
        </w:rPr>
        <w:t>开标一览表</w:t>
      </w:r>
    </w:p>
    <w:p>
      <w:pPr>
        <w:spacing w:line="520" w:lineRule="exact"/>
        <w:ind w:firstLine="420" w:firstLineChars="200"/>
        <w:rPr>
          <w:szCs w:val="21"/>
        </w:rPr>
      </w:pPr>
      <w:r>
        <w:rPr>
          <w:szCs w:val="21"/>
        </w:rPr>
        <w:t xml:space="preserve"> </w:t>
      </w:r>
    </w:p>
    <w:p>
      <w:pPr>
        <w:pStyle w:val="4"/>
        <w:rPr>
          <w:b w:val="0"/>
          <w:bCs w:val="0"/>
          <w:sz w:val="21"/>
          <w:szCs w:val="21"/>
        </w:rPr>
      </w:pPr>
      <w:r>
        <w:rPr>
          <w:b w:val="0"/>
          <w:bCs w:val="0"/>
          <w:sz w:val="21"/>
          <w:szCs w:val="21"/>
        </w:rPr>
        <w:t xml:space="preserve">供应商名称（盖章）:  </w:t>
      </w:r>
    </w:p>
    <w:tbl>
      <w:tblPr>
        <w:tblStyle w:val="23"/>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0"/>
        <w:gridCol w:w="4161"/>
        <w:gridCol w:w="2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jc w:val="center"/>
        </w:trPr>
        <w:tc>
          <w:tcPr>
            <w:tcW w:w="1820" w:type="dxa"/>
            <w:vAlign w:val="center"/>
          </w:tcPr>
          <w:p>
            <w:pPr>
              <w:snapToGrid w:val="0"/>
              <w:spacing w:line="360" w:lineRule="auto"/>
              <w:jc w:val="center"/>
            </w:pPr>
            <w:r>
              <w:t>采购项目名称</w:t>
            </w:r>
          </w:p>
        </w:tc>
        <w:tc>
          <w:tcPr>
            <w:tcW w:w="6799" w:type="dxa"/>
            <w:gridSpan w:val="2"/>
            <w:vAlign w:val="center"/>
          </w:tcPr>
          <w:p>
            <w:pPr>
              <w:snapToGrid w:val="0"/>
              <w:spacing w:line="360" w:lineRule="auto"/>
              <w:jc w:val="center"/>
              <w:rPr>
                <w:rFonts w:hint="eastAsia" w:eastAsia="宋体"/>
                <w:highlight w:val="none"/>
                <w:lang w:eastAsia="zh-CN"/>
              </w:rPr>
            </w:pPr>
            <w:r>
              <w:rPr>
                <w:rFonts w:hint="eastAsia"/>
                <w:szCs w:val="21"/>
                <w:highlight w:val="none"/>
                <w:lang w:eastAsia="zh-CN"/>
              </w:rPr>
              <w:t>20地块场地修复工程二次污染监测及清挖效果检测项目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820" w:type="dxa"/>
            <w:tcBorders>
              <w:top w:val="single" w:color="auto" w:sz="4" w:space="0"/>
            </w:tcBorders>
            <w:vAlign w:val="center"/>
          </w:tcPr>
          <w:p>
            <w:pPr>
              <w:snapToGrid w:val="0"/>
              <w:spacing w:line="360" w:lineRule="auto"/>
              <w:jc w:val="center"/>
            </w:pPr>
            <w:r>
              <w:t>投标报价（含税）</w:t>
            </w:r>
          </w:p>
        </w:tc>
        <w:tc>
          <w:tcPr>
            <w:tcW w:w="4161" w:type="dxa"/>
            <w:vAlign w:val="center"/>
          </w:tcPr>
          <w:p>
            <w:pPr>
              <w:snapToGrid w:val="0"/>
              <w:spacing w:line="360" w:lineRule="auto"/>
              <w:jc w:val="center"/>
              <w:rPr>
                <w:szCs w:val="21"/>
              </w:rPr>
            </w:pPr>
            <w:r>
              <w:rPr>
                <w:szCs w:val="21"/>
              </w:rPr>
              <w:t>大写：</w:t>
            </w:r>
            <w:r>
              <w:rPr>
                <w:szCs w:val="21"/>
                <w:u w:val="single"/>
              </w:rPr>
              <w:t xml:space="preserve">                      </w:t>
            </w:r>
            <w:r>
              <w:rPr>
                <w:szCs w:val="21"/>
              </w:rPr>
              <w:t>元</w:t>
            </w:r>
          </w:p>
        </w:tc>
        <w:tc>
          <w:tcPr>
            <w:tcW w:w="2638" w:type="dxa"/>
            <w:vAlign w:val="center"/>
          </w:tcPr>
          <w:p>
            <w:pPr>
              <w:snapToGrid w:val="0"/>
              <w:spacing w:line="360" w:lineRule="auto"/>
              <w:jc w:val="center"/>
            </w:pPr>
            <w:r>
              <w:t>小写：</w:t>
            </w:r>
            <w:r>
              <w:rPr>
                <w:u w:val="single"/>
              </w:rPr>
              <w:t xml:space="preserve">            </w:t>
            </w:r>
            <w: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1820" w:type="dxa"/>
            <w:vAlign w:val="center"/>
          </w:tcPr>
          <w:p>
            <w:pPr>
              <w:snapToGrid w:val="0"/>
              <w:spacing w:line="360" w:lineRule="auto"/>
              <w:jc w:val="center"/>
            </w:pPr>
            <w:r>
              <w:t>税率</w:t>
            </w:r>
          </w:p>
        </w:tc>
        <w:tc>
          <w:tcPr>
            <w:tcW w:w="6799" w:type="dxa"/>
            <w:gridSpan w:val="2"/>
            <w:vAlign w:val="center"/>
          </w:tcPr>
          <w:p>
            <w:pPr>
              <w:snapToGrid w:val="0"/>
              <w:spacing w:line="360" w:lineRule="auto"/>
              <w:jc w:val="center"/>
            </w:pPr>
          </w:p>
        </w:tc>
      </w:tr>
    </w:tbl>
    <w:p>
      <w:pPr>
        <w:pStyle w:val="37"/>
        <w:rPr>
          <w:rFonts w:ascii="Times New Roman" w:cs="Times New Roman"/>
          <w:szCs w:val="21"/>
        </w:rPr>
      </w:pPr>
    </w:p>
    <w:p>
      <w:pPr>
        <w:pStyle w:val="37"/>
        <w:rPr>
          <w:rFonts w:ascii="Times New Roman" w:cs="Times New Roman"/>
          <w:szCs w:val="21"/>
        </w:rPr>
      </w:pPr>
    </w:p>
    <w:p>
      <w:pPr>
        <w:pStyle w:val="37"/>
        <w:rPr>
          <w:rFonts w:ascii="Times New Roman" w:cs="Times New Roman"/>
          <w:szCs w:val="21"/>
        </w:rPr>
      </w:pPr>
    </w:p>
    <w:p>
      <w:pPr>
        <w:spacing w:line="280" w:lineRule="exact"/>
        <w:rPr>
          <w:szCs w:val="21"/>
        </w:rPr>
      </w:pPr>
      <w:r>
        <w:rPr>
          <w:szCs w:val="21"/>
        </w:rPr>
        <w:t>法定代表人或代理人（签字或盖章）：</w:t>
      </w:r>
    </w:p>
    <w:p>
      <w:pPr>
        <w:pStyle w:val="37"/>
        <w:rPr>
          <w:rFonts w:ascii="Times New Roman" w:cs="Times New Roman"/>
          <w:szCs w:val="21"/>
        </w:rPr>
      </w:pPr>
    </w:p>
    <w:p>
      <w:pPr>
        <w:pStyle w:val="5"/>
        <w:overflowPunct w:val="0"/>
        <w:spacing w:line="500" w:lineRule="exact"/>
        <w:rPr>
          <w:rFonts w:ascii="Times New Roman"/>
          <w:sz w:val="21"/>
          <w:szCs w:val="21"/>
        </w:rPr>
      </w:pPr>
      <w:r>
        <w:rPr>
          <w:rFonts w:ascii="Times New Roman"/>
          <w:sz w:val="21"/>
          <w:szCs w:val="21"/>
        </w:rPr>
        <w:t>年</w:t>
      </w:r>
      <w:r>
        <w:rPr>
          <w:rFonts w:ascii="Times New Roman"/>
          <w:sz w:val="21"/>
          <w:szCs w:val="21"/>
        </w:rPr>
        <w:tab/>
      </w:r>
      <w:r>
        <w:rPr>
          <w:rFonts w:ascii="Times New Roman"/>
          <w:sz w:val="21"/>
          <w:szCs w:val="21"/>
        </w:rPr>
        <w:t xml:space="preserve"> 月 </w:t>
      </w:r>
      <w:r>
        <w:rPr>
          <w:rFonts w:ascii="Times New Roman"/>
          <w:sz w:val="21"/>
          <w:szCs w:val="21"/>
        </w:rPr>
        <w:tab/>
      </w:r>
      <w:r>
        <w:rPr>
          <w:rFonts w:ascii="Times New Roman"/>
          <w:sz w:val="21"/>
          <w:szCs w:val="21"/>
        </w:rPr>
        <w:t>日</w:t>
      </w:r>
    </w:p>
    <w:p>
      <w:pPr>
        <w:spacing w:line="520" w:lineRule="exact"/>
        <w:ind w:firstLine="420" w:firstLineChars="200"/>
        <w:jc w:val="left"/>
        <w:rPr>
          <w:szCs w:val="21"/>
        </w:rPr>
      </w:pPr>
      <w:r>
        <w:rPr>
          <w:szCs w:val="21"/>
        </w:rPr>
        <w:t xml:space="preserve">                                                  </w:t>
      </w:r>
    </w:p>
    <w:p>
      <w:pPr>
        <w:pStyle w:val="5"/>
        <w:overflowPunct w:val="0"/>
        <w:spacing w:line="500" w:lineRule="exact"/>
        <w:ind w:firstLine="0"/>
        <w:rPr>
          <w:rFonts w:ascii="Times New Roman"/>
          <w:sz w:val="21"/>
          <w:szCs w:val="21"/>
        </w:rPr>
      </w:pPr>
    </w:p>
    <w:p>
      <w:pPr>
        <w:pStyle w:val="5"/>
        <w:overflowPunct w:val="0"/>
        <w:spacing w:line="500" w:lineRule="exact"/>
        <w:ind w:firstLine="0"/>
        <w:rPr>
          <w:rFonts w:ascii="Times New Roman"/>
          <w:sz w:val="21"/>
          <w:szCs w:val="21"/>
        </w:rPr>
      </w:pPr>
    </w:p>
    <w:p>
      <w:pPr>
        <w:pStyle w:val="5"/>
        <w:overflowPunct w:val="0"/>
        <w:spacing w:line="500" w:lineRule="exact"/>
        <w:ind w:firstLine="0"/>
        <w:rPr>
          <w:rFonts w:ascii="Times New Roman"/>
          <w:sz w:val="21"/>
          <w:szCs w:val="21"/>
        </w:rPr>
      </w:pPr>
    </w:p>
    <w:p>
      <w:pPr>
        <w:pStyle w:val="5"/>
        <w:overflowPunct w:val="0"/>
        <w:spacing w:line="500" w:lineRule="exact"/>
        <w:ind w:firstLine="0"/>
        <w:rPr>
          <w:rFonts w:ascii="Times New Roman"/>
          <w:sz w:val="21"/>
          <w:szCs w:val="21"/>
        </w:rPr>
      </w:pPr>
    </w:p>
    <w:p>
      <w:pPr>
        <w:pStyle w:val="5"/>
        <w:overflowPunct w:val="0"/>
        <w:spacing w:line="500" w:lineRule="exact"/>
        <w:ind w:firstLine="0"/>
        <w:rPr>
          <w:rFonts w:ascii="Times New Roman"/>
          <w:sz w:val="21"/>
          <w:szCs w:val="21"/>
        </w:rPr>
      </w:pPr>
    </w:p>
    <w:p>
      <w:pPr>
        <w:spacing w:line="520" w:lineRule="exact"/>
        <w:ind w:firstLine="602" w:firstLineChars="200"/>
        <w:jc w:val="center"/>
        <w:rPr>
          <w:b/>
          <w:bCs/>
          <w:sz w:val="30"/>
          <w:szCs w:val="30"/>
        </w:rPr>
      </w:pPr>
    </w:p>
    <w:p>
      <w:pPr>
        <w:ind w:firstLine="560"/>
        <w:rPr>
          <w:szCs w:val="21"/>
        </w:rPr>
        <w:sectPr>
          <w:headerReference r:id="rId3" w:type="default"/>
          <w:footerReference r:id="rId4" w:type="default"/>
          <w:pgSz w:w="11906" w:h="16838"/>
          <w:pgMar w:top="1440" w:right="1440" w:bottom="1440" w:left="1440" w:header="851" w:footer="992" w:gutter="0"/>
          <w:cols w:space="0" w:num="1"/>
          <w:docGrid w:linePitch="326" w:charSpace="0"/>
        </w:sectPr>
      </w:pPr>
      <w:bookmarkStart w:id="31" w:name="_Toc322435836"/>
      <w:bookmarkStart w:id="32" w:name="_Toc331061674"/>
      <w:bookmarkStart w:id="33" w:name="_Toc330998565"/>
      <w:bookmarkStart w:id="34" w:name="_Toc331056453"/>
      <w:bookmarkStart w:id="35" w:name="_Toc322436061"/>
      <w:bookmarkStart w:id="36" w:name="_Toc322436241"/>
      <w:bookmarkStart w:id="37" w:name="_Toc322436006"/>
    </w:p>
    <w:p>
      <w:pPr>
        <w:spacing w:line="520" w:lineRule="exact"/>
        <w:jc w:val="center"/>
        <w:rPr>
          <w:b/>
          <w:bCs/>
          <w:sz w:val="30"/>
          <w:szCs w:val="30"/>
        </w:rPr>
      </w:pPr>
      <w:r>
        <w:rPr>
          <w:b/>
          <w:bCs/>
          <w:sz w:val="30"/>
          <w:szCs w:val="30"/>
        </w:rPr>
        <w:t>分项报价表</w:t>
      </w:r>
    </w:p>
    <w:p>
      <w:pPr>
        <w:ind w:firstLine="560"/>
        <w:rPr>
          <w:rFonts w:hint="default" w:eastAsia="宋体"/>
          <w:szCs w:val="21"/>
          <w:lang w:val="en-US" w:eastAsia="zh-CN"/>
        </w:rPr>
      </w:pPr>
      <w:r>
        <w:rPr>
          <w:rFonts w:hint="eastAsia"/>
          <w:szCs w:val="21"/>
          <w:lang w:val="en-US" w:eastAsia="zh-CN"/>
        </w:rPr>
        <w:t>供应商名称（盖章）：</w:t>
      </w:r>
    </w:p>
    <w:tbl>
      <w:tblPr>
        <w:tblStyle w:val="23"/>
        <w:tblW w:w="4513"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56"/>
        <w:gridCol w:w="1950"/>
        <w:gridCol w:w="1181"/>
        <w:gridCol w:w="1021"/>
        <w:gridCol w:w="1351"/>
        <w:gridCol w:w="1247"/>
        <w:gridCol w:w="1172"/>
        <w:gridCol w:w="1172"/>
        <w:gridCol w:w="1172"/>
        <w:gridCol w:w="117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529" w:type="pc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检测对象</w:t>
            </w:r>
          </w:p>
        </w:tc>
        <w:tc>
          <w:tcPr>
            <w:tcW w:w="762" w:type="pct"/>
            <w:tcBorders>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检测因子</w:t>
            </w:r>
          </w:p>
        </w:tc>
        <w:tc>
          <w:tcPr>
            <w:tcW w:w="461" w:type="pc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点位</w:t>
            </w:r>
          </w:p>
        </w:tc>
        <w:tc>
          <w:tcPr>
            <w:tcW w:w="399" w:type="pc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频次</w:t>
            </w:r>
          </w:p>
        </w:tc>
        <w:tc>
          <w:tcPr>
            <w:tcW w:w="527" w:type="pct"/>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样品数量</w:t>
            </w:r>
          </w:p>
        </w:tc>
        <w:tc>
          <w:tcPr>
            <w:tcW w:w="487" w:type="pct"/>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单价（元）</w:t>
            </w:r>
          </w:p>
        </w:tc>
        <w:tc>
          <w:tcPr>
            <w:tcW w:w="458" w:type="pct"/>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总价（元）</w:t>
            </w:r>
          </w:p>
        </w:tc>
        <w:tc>
          <w:tcPr>
            <w:tcW w:w="458" w:type="pct"/>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检测方法</w:t>
            </w:r>
          </w:p>
        </w:tc>
        <w:tc>
          <w:tcPr>
            <w:tcW w:w="458" w:type="pct"/>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宋体" w:hAnsi="宋体" w:eastAsia="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是否分包</w:t>
            </w:r>
          </w:p>
        </w:tc>
        <w:tc>
          <w:tcPr>
            <w:tcW w:w="458" w:type="pct"/>
            <w:tcBorders>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宋体" w:hAnsi="宋体" w:cs="宋体"/>
                <w:b/>
                <w:bCs/>
                <w:i w:val="0"/>
                <w:iCs w:val="0"/>
                <w:color w:val="000000"/>
                <w:kern w:val="0"/>
                <w:sz w:val="21"/>
                <w:szCs w:val="21"/>
                <w:u w:val="none"/>
                <w:lang w:val="en-US" w:eastAsia="zh-CN" w:bidi="ar"/>
              </w:rPr>
            </w:pPr>
            <w:r>
              <w:rPr>
                <w:rFonts w:hint="eastAsia" w:ascii="宋体" w:hAnsi="宋体" w:cs="宋体"/>
                <w:b/>
                <w:bCs/>
                <w:i w:val="0"/>
                <w:iCs w:val="0"/>
                <w:color w:val="000000"/>
                <w:kern w:val="0"/>
                <w:sz w:val="21"/>
                <w:szCs w:val="21"/>
                <w:u w:val="none"/>
                <w:lang w:val="en-US" w:eastAsia="zh-CN" w:bidi="ar"/>
              </w:rPr>
              <w:t>执行标准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本底：厂界无组织、敏感点大气（施工前、后）</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SO</w:t>
            </w:r>
            <w:r>
              <w:rPr>
                <w:rFonts w:hint="eastAsia" w:ascii="宋体" w:hAnsi="宋体" w:eastAsia="宋体" w:cs="宋体"/>
                <w:i w:val="0"/>
                <w:iCs w:val="0"/>
                <w:color w:val="000000"/>
                <w:kern w:val="0"/>
                <w:sz w:val="21"/>
                <w:szCs w:val="21"/>
                <w:u w:val="none"/>
                <w:vertAlign w:val="subscript"/>
                <w:lang w:val="en-US" w:eastAsia="zh-CN" w:bidi="ar"/>
              </w:rPr>
              <w:t>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一氧化碳</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臭氧</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PM10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PM2.5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TSP</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NOx</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非甲烷总烃</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臭气浓度</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萘</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2"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Style w:val="113"/>
                <w:rFonts w:hint="eastAsia" w:ascii="宋体" w:hAnsi="宋体" w:eastAsia="宋体" w:cs="宋体"/>
                <w:sz w:val="21"/>
                <w:szCs w:val="21"/>
                <w:lang w:val="en-US" w:eastAsia="zh-CN" w:bidi="ar"/>
              </w:rPr>
              <w:t>，</w:t>
            </w: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三氯乙烷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r>
              <w:rPr>
                <w:rStyle w:val="113"/>
                <w:rFonts w:hint="eastAsia" w:ascii="宋体" w:hAnsi="宋体" w:eastAsia="宋体" w:cs="宋体"/>
                <w:sz w:val="21"/>
                <w:szCs w:val="21"/>
                <w:lang w:val="en-US" w:eastAsia="zh-CN" w:bidi="ar"/>
              </w:rPr>
              <w:t>，</w:t>
            </w:r>
            <w:r>
              <w:rPr>
                <w:rFonts w:hint="eastAsia" w:ascii="宋体" w:hAnsi="宋体" w:eastAsia="宋体" w:cs="宋体"/>
                <w:i w:val="0"/>
                <w:iCs w:val="0"/>
                <w:color w:val="000000"/>
                <w:kern w:val="0"/>
                <w:sz w:val="21"/>
                <w:szCs w:val="21"/>
                <w:u w:val="none"/>
                <w:lang w:val="en-US" w:eastAsia="zh-CN" w:bidi="ar"/>
              </w:rPr>
              <w:t>2</w:t>
            </w:r>
            <w:r>
              <w:rPr>
                <w:rStyle w:val="113"/>
                <w:rFonts w:hint="eastAsia" w:ascii="宋体" w:hAnsi="宋体" w:eastAsia="宋体" w:cs="宋体"/>
                <w:sz w:val="21"/>
                <w:szCs w:val="21"/>
                <w:lang w:val="en-US" w:eastAsia="zh-CN" w:bidi="ar"/>
              </w:rPr>
              <w:t>二氯乙烷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苯并(a)</w:t>
            </w:r>
            <w:r>
              <w:rPr>
                <w:rStyle w:val="113"/>
                <w:rFonts w:hint="eastAsia" w:ascii="宋体" w:hAnsi="宋体" w:eastAsia="宋体" w:cs="宋体"/>
                <w:sz w:val="21"/>
                <w:szCs w:val="21"/>
                <w:lang w:val="en-US" w:eastAsia="zh-CN" w:bidi="ar"/>
              </w:rPr>
              <w:t>芘</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施工期二次污染：有组织废气</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SO</w:t>
            </w:r>
            <w:r>
              <w:rPr>
                <w:rFonts w:hint="eastAsia" w:ascii="宋体" w:hAnsi="宋体" w:eastAsia="宋体" w:cs="宋体"/>
                <w:i w:val="0"/>
                <w:iCs w:val="0"/>
                <w:color w:val="000000"/>
                <w:kern w:val="0"/>
                <w:sz w:val="21"/>
                <w:szCs w:val="21"/>
                <w:u w:val="none"/>
                <w:vertAlign w:val="subscript"/>
                <w:lang w:val="en-US" w:eastAsia="zh-CN" w:bidi="ar"/>
              </w:rPr>
              <w:t>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一氧化碳</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NOx</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非甲烷总烃</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臭气浓度</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萘</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2"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1，1,2-三氯乙烷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1，2二氯乙烷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苯并</w:t>
            </w:r>
            <w:r>
              <w:rPr>
                <w:rFonts w:hint="eastAsia" w:ascii="宋体" w:hAnsi="宋体" w:eastAsia="宋体" w:cs="宋体"/>
                <w:i w:val="0"/>
                <w:iCs w:val="0"/>
                <w:color w:val="000000"/>
                <w:kern w:val="0"/>
                <w:sz w:val="21"/>
                <w:szCs w:val="21"/>
                <w:u w:val="none"/>
                <w:lang w:val="en-US" w:eastAsia="zh-CN" w:bidi="ar"/>
              </w:rPr>
              <w:t>(a)</w:t>
            </w:r>
            <w:r>
              <w:rPr>
                <w:rStyle w:val="113"/>
                <w:rFonts w:hint="eastAsia" w:ascii="宋体" w:hAnsi="宋体" w:eastAsia="宋体" w:cs="宋体"/>
                <w:sz w:val="21"/>
                <w:szCs w:val="21"/>
                <w:lang w:val="en-US" w:eastAsia="zh-CN" w:bidi="ar"/>
              </w:rPr>
              <w:t>芘</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施工期二次污染：厂界无组织、敏感点大气</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SO</w:t>
            </w:r>
            <w:r>
              <w:rPr>
                <w:rFonts w:hint="eastAsia" w:ascii="宋体" w:hAnsi="宋体" w:eastAsia="宋体" w:cs="宋体"/>
                <w:i w:val="0"/>
                <w:iCs w:val="0"/>
                <w:color w:val="000000"/>
                <w:kern w:val="0"/>
                <w:sz w:val="21"/>
                <w:szCs w:val="21"/>
                <w:u w:val="none"/>
                <w:vertAlign w:val="subscript"/>
                <w:lang w:val="en-US" w:eastAsia="zh-CN" w:bidi="ar"/>
              </w:rPr>
              <w:t>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一氧化碳</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臭氧</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PM10</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PM2.5</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TSP</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NOx</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非甲烷总烃</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臭气浓度</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萘</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52"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1，1,2-三氯乙烷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1，2二氯乙烷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苯并</w:t>
            </w:r>
            <w:r>
              <w:rPr>
                <w:rFonts w:hint="eastAsia" w:ascii="宋体" w:hAnsi="宋体" w:eastAsia="宋体" w:cs="宋体"/>
                <w:i w:val="0"/>
                <w:iCs w:val="0"/>
                <w:color w:val="000000"/>
                <w:kern w:val="0"/>
                <w:sz w:val="21"/>
                <w:szCs w:val="21"/>
                <w:u w:val="none"/>
                <w:lang w:val="en-US" w:eastAsia="zh-CN" w:bidi="ar"/>
              </w:rPr>
              <w:t>(a)</w:t>
            </w:r>
            <w:r>
              <w:rPr>
                <w:rStyle w:val="113"/>
                <w:rFonts w:hint="eastAsia" w:ascii="宋体" w:hAnsi="宋体" w:eastAsia="宋体" w:cs="宋体"/>
                <w:sz w:val="21"/>
                <w:szCs w:val="21"/>
                <w:lang w:val="en-US" w:eastAsia="zh-CN" w:bidi="ar"/>
              </w:rPr>
              <w:t>芘</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tcBorders>
              <w:top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本底：噪声</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4" w:hRule="atLeast"/>
          <w:jc w:val="center"/>
        </w:trPr>
        <w:tc>
          <w:tcPr>
            <w:tcW w:w="529" w:type="pct"/>
            <w:tcBorders>
              <w:top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施工期二次污染：噪声</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噪声</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本底：周边地表水</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COD</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氨氮</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总氮</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1，1,2-三氯乙烷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r>
              <w:rPr>
                <w:rStyle w:val="113"/>
                <w:rFonts w:hint="eastAsia" w:ascii="宋体" w:hAnsi="宋体" w:eastAsia="宋体" w:cs="宋体"/>
                <w:sz w:val="21"/>
                <w:szCs w:val="21"/>
                <w:lang w:val="en-US" w:eastAsia="zh-CN" w:bidi="ar"/>
              </w:rPr>
              <w:t>二氯乙烯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施工期二次污染：周边地表水</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COD</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氨氮</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总氮</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1，1,2-三氯乙烷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氯乙烯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r>
              <w:rPr>
                <w:rStyle w:val="113"/>
                <w:rFonts w:hint="eastAsia" w:ascii="宋体" w:hAnsi="宋体" w:eastAsia="宋体" w:cs="宋体"/>
                <w:sz w:val="21"/>
                <w:szCs w:val="21"/>
                <w:lang w:val="en-US" w:eastAsia="zh-CN" w:bidi="ar"/>
              </w:rPr>
              <w:t>二氯乙烯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restart"/>
            <w:tcBorders>
              <w:top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本底：地下水</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萘</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乙苯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529"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r>
              <w:rPr>
                <w:rStyle w:val="113"/>
                <w:rFonts w:hint="eastAsia" w:ascii="宋体" w:hAnsi="宋体" w:eastAsia="宋体" w:cs="宋体"/>
                <w:sz w:val="21"/>
                <w:szCs w:val="21"/>
                <w:lang w:val="en-US" w:eastAsia="zh-CN" w:bidi="ar"/>
              </w:rPr>
              <w:t>三氯乙烷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氯乙烯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restart"/>
            <w:tcBorders>
              <w:top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施工期二次污染：地下水</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萘</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乙苯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529"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r>
              <w:rPr>
                <w:rStyle w:val="113"/>
                <w:rFonts w:hint="eastAsia" w:ascii="宋体" w:hAnsi="宋体" w:eastAsia="宋体" w:cs="宋体"/>
                <w:sz w:val="21"/>
                <w:szCs w:val="21"/>
                <w:lang w:val="en-US" w:eastAsia="zh-CN" w:bidi="ar"/>
              </w:rPr>
              <w:t>三氯乙烷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氯乙烯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废水预处理设施出水</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pH</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COD</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SS</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氨氮</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总氮</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萘</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乙苯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1,1,2-</w:t>
            </w:r>
            <w:r>
              <w:rPr>
                <w:rStyle w:val="113"/>
                <w:rFonts w:hint="eastAsia" w:ascii="宋体" w:hAnsi="宋体" w:eastAsia="宋体" w:cs="宋体"/>
                <w:sz w:val="21"/>
                <w:szCs w:val="21"/>
                <w:lang w:val="en-US" w:eastAsia="zh-CN" w:bidi="ar"/>
              </w:rPr>
              <w:t>三氯乙烷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r>
              <w:rPr>
                <w:rStyle w:val="113"/>
                <w:rFonts w:hint="eastAsia" w:ascii="宋体" w:hAnsi="宋体" w:eastAsia="宋体" w:cs="宋体"/>
                <w:sz w:val="21"/>
                <w:szCs w:val="21"/>
                <w:lang w:val="en-US" w:eastAsia="zh-CN" w:bidi="ar"/>
              </w:rPr>
              <w:t>二氯乙烷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氯乙烯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苯并(a)芘</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52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487"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restart"/>
            <w:tcBorders>
              <w:top w:val="nil"/>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土壤清挖效果</w:t>
            </w: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27"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487"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乙苯</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27"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487"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1,2-二氯乙烷</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27"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487"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苯并(a)芘</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27"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487"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529" w:type="pct"/>
            <w:vMerge w:val="continue"/>
            <w:tcBorders>
              <w:top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Style w:val="113"/>
                <w:rFonts w:hint="eastAsia" w:ascii="宋体" w:hAnsi="宋体" w:eastAsia="宋体" w:cs="宋体"/>
                <w:sz w:val="21"/>
                <w:szCs w:val="21"/>
                <w:lang w:val="en-US" w:eastAsia="zh-CN" w:bidi="ar"/>
              </w:rPr>
              <w:t>萘</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27"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487"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jc w:val="center"/>
        </w:trPr>
        <w:tc>
          <w:tcPr>
            <w:tcW w:w="529" w:type="pct"/>
            <w:vMerge w:val="continue"/>
            <w:tcBorders>
              <w:top w:val="nil"/>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rPr>
                <w:rFonts w:hint="eastAsia" w:ascii="宋体" w:hAnsi="宋体" w:eastAsia="宋体" w:cs="宋体"/>
                <w:i w:val="0"/>
                <w:iCs w:val="0"/>
                <w:color w:val="000000"/>
                <w:sz w:val="21"/>
                <w:szCs w:val="21"/>
                <w:u w:val="none"/>
              </w:rPr>
            </w:pPr>
          </w:p>
        </w:tc>
        <w:tc>
          <w:tcPr>
            <w:tcW w:w="762"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二(2-氯乙基)醚</w:t>
            </w:r>
          </w:p>
        </w:tc>
        <w:tc>
          <w:tcPr>
            <w:tcW w:w="461"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399"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527" w:type="pct"/>
            <w:tcBorders>
              <w:top w:val="single" w:color="000000" w:sz="4" w:space="0"/>
              <w:left w:val="single" w:color="000000" w:sz="4" w:space="0"/>
              <w:bottom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487" w:type="pct"/>
            <w:tcBorders>
              <w:top w:val="single" w:color="000000" w:sz="4" w:space="0"/>
              <w:left w:val="single" w:color="000000" w:sz="4" w:space="0"/>
              <w:bottom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jc w:val="center"/>
        </w:trPr>
        <w:tc>
          <w:tcPr>
            <w:tcW w:w="3167" w:type="pct"/>
            <w:gridSpan w:val="6"/>
            <w:tcBorders>
              <w:top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合计（元）</w:t>
            </w:r>
          </w:p>
        </w:tc>
        <w:tc>
          <w:tcPr>
            <w:tcW w:w="458" w:type="pct"/>
            <w:tcBorders>
              <w:top w:val="single" w:color="000000" w:sz="4" w:space="0"/>
              <w:lef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p>
        </w:tc>
        <w:tc>
          <w:tcPr>
            <w:tcW w:w="458" w:type="pct"/>
            <w:tcBorders>
              <w:top w:val="single" w:color="000000" w:sz="4" w:space="0"/>
              <w:lef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p>
        </w:tc>
        <w:tc>
          <w:tcPr>
            <w:tcW w:w="458" w:type="pct"/>
            <w:tcBorders>
              <w:top w:val="single" w:color="000000" w:sz="4" w:space="0"/>
              <w:lef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p>
        </w:tc>
        <w:tc>
          <w:tcPr>
            <w:tcW w:w="458" w:type="pct"/>
            <w:tcBorders>
              <w:top w:val="single" w:color="000000" w:sz="4" w:space="0"/>
              <w:lef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w:t>
            </w:r>
          </w:p>
        </w:tc>
      </w:tr>
    </w:tbl>
    <w:p>
      <w:pPr>
        <w:pStyle w:val="9"/>
        <w:spacing w:line="240" w:lineRule="exact"/>
        <w:ind w:firstLine="518" w:firstLineChars="300"/>
        <w:jc w:val="left"/>
        <w:rPr>
          <w:rFonts w:hint="eastAsia" w:ascii="宋体" w:hAnsi="宋体" w:cs="宋体"/>
          <w:b/>
          <w:bCs/>
          <w:szCs w:val="21"/>
          <w:highlight w:val="none"/>
          <w:lang w:eastAsia="zh-CN"/>
        </w:rPr>
      </w:pPr>
      <w:r>
        <w:rPr>
          <w:rFonts w:hint="eastAsia" w:ascii="宋体" w:hAnsi="宋体" w:cs="宋体"/>
          <w:b/>
          <w:bCs/>
          <w:szCs w:val="21"/>
          <w:highlight w:val="none"/>
          <w:lang w:val="en-US" w:eastAsia="zh-CN"/>
        </w:rPr>
        <w:t>注：①土壤采样根据施工进度分批次进场采样，</w:t>
      </w:r>
      <w:r>
        <w:rPr>
          <w:rFonts w:hint="eastAsia" w:ascii="宋体" w:hAnsi="宋体" w:cs="宋体"/>
          <w:b/>
          <w:bCs/>
          <w:szCs w:val="21"/>
          <w:highlight w:val="none"/>
        </w:rPr>
        <w:t>除挥发性有机物项目的样品外，需采9个土壤样品制成混合样。对土壤样品进行PID、XRF快筛</w:t>
      </w:r>
      <w:r>
        <w:rPr>
          <w:rFonts w:hint="eastAsia" w:ascii="宋体" w:hAnsi="宋体" w:cs="宋体"/>
          <w:b/>
          <w:bCs/>
          <w:szCs w:val="21"/>
          <w:highlight w:val="none"/>
          <w:lang w:eastAsia="zh-CN"/>
        </w:rPr>
        <w:t>。</w:t>
      </w:r>
    </w:p>
    <w:p>
      <w:pPr>
        <w:pStyle w:val="9"/>
        <w:spacing w:line="240" w:lineRule="exact"/>
        <w:ind w:firstLine="518" w:firstLineChars="300"/>
        <w:jc w:val="left"/>
        <w:rPr>
          <w:rFonts w:hint="eastAsia" w:hAnsi="宋体" w:cs="宋体"/>
          <w:b/>
          <w:bCs/>
          <w:szCs w:val="21"/>
          <w:highlight w:val="none"/>
          <w:lang w:val="en-US" w:eastAsia="zh-CN"/>
        </w:rPr>
      </w:pPr>
      <w:r>
        <w:rPr>
          <w:rFonts w:hint="eastAsia" w:ascii="宋体" w:hAnsi="宋体" w:cs="宋体"/>
          <w:b/>
          <w:bCs/>
          <w:szCs w:val="21"/>
          <w:highlight w:val="none"/>
          <w:lang w:val="en-US" w:eastAsia="zh-CN"/>
        </w:rPr>
        <w:t>②</w:t>
      </w:r>
      <w:r>
        <w:rPr>
          <w:rFonts w:hint="eastAsia" w:ascii="宋体" w:hAnsi="宋体" w:cs="宋体"/>
          <w:b/>
          <w:bCs/>
          <w:szCs w:val="21"/>
          <w:highlight w:val="none"/>
        </w:rPr>
        <w:t>上述二次污染检测频次及检测方法需满足相应执行标准，</w:t>
      </w:r>
      <w:r>
        <w:rPr>
          <w:rFonts w:hint="eastAsia" w:ascii="宋体" w:hAnsi="宋体" w:cs="宋体"/>
          <w:b/>
          <w:bCs/>
          <w:szCs w:val="21"/>
          <w:highlight w:val="none"/>
          <w:lang w:val="en-US" w:eastAsia="zh-CN"/>
        </w:rPr>
        <w:t>采购文件将提供检测方案及执行标准，投标人可根据执行标准增加样品数量，但不能低于采购人提供的样品数量。在提供的检测方案基础上，采购人不再因投标人报价中样品数量增加及检测方法调整而增加相关费用</w:t>
      </w:r>
      <w:r>
        <w:rPr>
          <w:rFonts w:hint="eastAsia" w:hAnsi="宋体" w:cs="宋体"/>
          <w:b/>
          <w:bCs/>
          <w:szCs w:val="21"/>
          <w:highlight w:val="none"/>
          <w:lang w:val="en-US" w:eastAsia="zh-CN"/>
        </w:rPr>
        <w:t>。</w:t>
      </w:r>
    </w:p>
    <w:p>
      <w:pPr>
        <w:pStyle w:val="9"/>
        <w:spacing w:line="240" w:lineRule="exact"/>
        <w:ind w:firstLine="518" w:firstLineChars="300"/>
        <w:jc w:val="left"/>
        <w:rPr>
          <w:szCs w:val="21"/>
        </w:rPr>
      </w:pPr>
      <w:r>
        <w:rPr>
          <w:rFonts w:hint="eastAsia" w:hAnsi="宋体" w:cs="宋体"/>
          <w:b/>
          <w:bCs/>
          <w:szCs w:val="21"/>
          <w:highlight w:val="none"/>
          <w:lang w:val="en-US" w:eastAsia="zh-CN"/>
        </w:rPr>
        <w:t>③同一个样品中同一种检测方法只收一次费用，其中检测方法重复的因子检测单价用“0”表示，若本单位无检测能力需外协的正常报价。若无法检测的因子单价用“/”表示。</w:t>
      </w:r>
    </w:p>
    <w:p>
      <w:pPr>
        <w:spacing w:line="280" w:lineRule="exact"/>
        <w:rPr>
          <w:szCs w:val="21"/>
        </w:rPr>
      </w:pPr>
    </w:p>
    <w:p>
      <w:pPr>
        <w:spacing w:line="280" w:lineRule="exact"/>
        <w:rPr>
          <w:rFonts w:ascii="Times New Roman" w:cs="Times New Roman"/>
          <w:szCs w:val="21"/>
        </w:rPr>
      </w:pPr>
      <w:r>
        <w:rPr>
          <w:szCs w:val="21"/>
        </w:rPr>
        <w:t>法定代表人或代理人（签字或盖章）：</w:t>
      </w:r>
    </w:p>
    <w:p>
      <w:pPr>
        <w:pStyle w:val="5"/>
        <w:overflowPunct w:val="0"/>
        <w:spacing w:line="500" w:lineRule="exact"/>
        <w:rPr>
          <w:rFonts w:ascii="Times New Roman"/>
          <w:sz w:val="21"/>
          <w:szCs w:val="21"/>
        </w:rPr>
      </w:pPr>
      <w:r>
        <w:rPr>
          <w:rFonts w:ascii="Times New Roman"/>
          <w:sz w:val="21"/>
          <w:szCs w:val="21"/>
        </w:rPr>
        <w:t>年</w:t>
      </w:r>
      <w:r>
        <w:rPr>
          <w:rFonts w:ascii="Times New Roman"/>
          <w:sz w:val="21"/>
          <w:szCs w:val="21"/>
        </w:rPr>
        <w:tab/>
      </w:r>
      <w:r>
        <w:rPr>
          <w:rFonts w:ascii="Times New Roman"/>
          <w:sz w:val="21"/>
          <w:szCs w:val="21"/>
        </w:rPr>
        <w:t xml:space="preserve"> 月 </w:t>
      </w:r>
      <w:r>
        <w:rPr>
          <w:rFonts w:ascii="Times New Roman"/>
          <w:sz w:val="21"/>
          <w:szCs w:val="21"/>
        </w:rPr>
        <w:tab/>
      </w:r>
      <w:r>
        <w:rPr>
          <w:rFonts w:ascii="Times New Roman"/>
          <w:sz w:val="21"/>
          <w:szCs w:val="21"/>
        </w:rPr>
        <w:t>日</w:t>
      </w:r>
    </w:p>
    <w:p>
      <w:pPr>
        <w:ind w:firstLine="560"/>
        <w:rPr>
          <w:szCs w:val="21"/>
        </w:rPr>
        <w:sectPr>
          <w:pgSz w:w="16838" w:h="11906" w:orient="landscape"/>
          <w:pgMar w:top="1440" w:right="1440" w:bottom="1440" w:left="1440" w:header="851" w:footer="992" w:gutter="0"/>
          <w:cols w:space="0" w:num="1"/>
          <w:docGrid w:linePitch="326" w:charSpace="0"/>
        </w:sectPr>
      </w:pPr>
    </w:p>
    <w:p>
      <w:pPr>
        <w:rPr>
          <w:b/>
          <w:sz w:val="32"/>
          <w:szCs w:val="32"/>
        </w:rPr>
      </w:pPr>
      <w:r>
        <w:rPr>
          <w:b/>
          <w:sz w:val="32"/>
          <w:szCs w:val="32"/>
        </w:rPr>
        <w:t>附件四：拟派项目组成员一览表</w:t>
      </w:r>
    </w:p>
    <w:p>
      <w:pPr>
        <w:jc w:val="center"/>
        <w:rPr>
          <w:b/>
          <w:sz w:val="28"/>
          <w:szCs w:val="22"/>
        </w:rPr>
      </w:pPr>
    </w:p>
    <w:p>
      <w:pPr>
        <w:jc w:val="center"/>
        <w:rPr>
          <w:b/>
          <w:sz w:val="32"/>
          <w:szCs w:val="32"/>
        </w:rPr>
      </w:pPr>
      <w:r>
        <w:rPr>
          <w:b/>
          <w:sz w:val="28"/>
          <w:szCs w:val="22"/>
        </w:rPr>
        <w:t>拟派项目组成员一览表</w:t>
      </w:r>
    </w:p>
    <w:p>
      <w:pPr>
        <w:spacing w:line="400" w:lineRule="exact"/>
        <w:rPr>
          <w:szCs w:val="21"/>
        </w:rPr>
      </w:pPr>
      <w:r>
        <w:rPr>
          <w:szCs w:val="21"/>
        </w:rPr>
        <w:t>项目名称：</w:t>
      </w:r>
    </w:p>
    <w:p>
      <w:pPr>
        <w:spacing w:line="400" w:lineRule="exact"/>
        <w:rPr>
          <w:szCs w:val="21"/>
        </w:rPr>
      </w:pPr>
      <w:r>
        <w:rPr>
          <w:szCs w:val="21"/>
        </w:rPr>
        <w:t>项目编号：</w:t>
      </w:r>
    </w:p>
    <w:p>
      <w:pPr>
        <w:rPr>
          <w:b/>
          <w:szCs w:val="21"/>
        </w:rPr>
      </w:pPr>
    </w:p>
    <w:tbl>
      <w:tblPr>
        <w:tblStyle w:val="23"/>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4"/>
        <w:gridCol w:w="1134"/>
        <w:gridCol w:w="1134"/>
        <w:gridCol w:w="1134"/>
        <w:gridCol w:w="1134"/>
        <w:gridCol w:w="1134"/>
        <w:gridCol w:w="1134"/>
        <w:gridCol w:w="1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1"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r>
              <w:rPr>
                <w:szCs w:val="21"/>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r>
              <w:rPr>
                <w:szCs w:val="21"/>
              </w:rPr>
              <w:t>姓名</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r>
              <w:rPr>
                <w:szCs w:val="21"/>
              </w:rPr>
              <w:t>性别</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r>
              <w:rPr>
                <w:szCs w:val="21"/>
              </w:rPr>
              <w:t>年龄</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r>
              <w:rPr>
                <w:szCs w:val="21"/>
              </w:rPr>
              <w:t>学历</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r>
              <w:rPr>
                <w:szCs w:val="21"/>
              </w:rPr>
              <w:t>专业</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r>
              <w:rPr>
                <w:szCs w:val="21"/>
              </w:rPr>
              <w:t>职称</w:t>
            </w: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r>
              <w:rPr>
                <w:szCs w:val="21"/>
              </w:rPr>
              <w:t>项目分工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jc w:val="center"/>
        </w:trPr>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c>
          <w:tcPr>
            <w:tcW w:w="1410" w:type="dxa"/>
            <w:tcBorders>
              <w:top w:val="single" w:color="auto" w:sz="4" w:space="0"/>
              <w:left w:val="single" w:color="auto" w:sz="4" w:space="0"/>
              <w:bottom w:val="single" w:color="auto" w:sz="4" w:space="0"/>
              <w:right w:val="single" w:color="auto" w:sz="4" w:space="0"/>
            </w:tcBorders>
            <w:vAlign w:val="center"/>
          </w:tcPr>
          <w:p>
            <w:pPr>
              <w:tabs>
                <w:tab w:val="left" w:pos="9765"/>
              </w:tabs>
              <w:snapToGrid w:val="0"/>
              <w:jc w:val="center"/>
              <w:rPr>
                <w:szCs w:val="21"/>
              </w:rPr>
            </w:pPr>
          </w:p>
        </w:tc>
      </w:tr>
    </w:tbl>
    <w:p>
      <w:pPr>
        <w:pStyle w:val="5"/>
        <w:overflowPunct w:val="0"/>
        <w:spacing w:line="500" w:lineRule="exact"/>
        <w:rPr>
          <w:rFonts w:ascii="Times New Roman"/>
          <w:sz w:val="21"/>
          <w:szCs w:val="21"/>
        </w:rPr>
      </w:pPr>
      <w:r>
        <w:rPr>
          <w:rFonts w:ascii="Times New Roman"/>
          <w:sz w:val="21"/>
          <w:szCs w:val="21"/>
        </w:rPr>
        <w:t>*上表格式仅供参考，供应商可根据自身实际进行自拟。注：随表后附投标文件所需的及供应商视自身实际情况认为需要提供的材料。</w:t>
      </w:r>
    </w:p>
    <w:p>
      <w:pPr>
        <w:pStyle w:val="5"/>
        <w:overflowPunct w:val="0"/>
        <w:spacing w:line="500" w:lineRule="exact"/>
        <w:ind w:firstLine="2520" w:firstLineChars="1200"/>
        <w:rPr>
          <w:rFonts w:ascii="Times New Roman"/>
          <w:sz w:val="21"/>
          <w:szCs w:val="21"/>
        </w:rPr>
      </w:pPr>
    </w:p>
    <w:p>
      <w:pPr>
        <w:pStyle w:val="5"/>
        <w:overflowPunct w:val="0"/>
        <w:spacing w:line="500" w:lineRule="exact"/>
        <w:ind w:firstLine="2520" w:firstLineChars="1200"/>
        <w:rPr>
          <w:rFonts w:ascii="Times New Roman"/>
          <w:sz w:val="21"/>
          <w:szCs w:val="21"/>
        </w:rPr>
      </w:pPr>
      <w:r>
        <w:rPr>
          <w:rFonts w:ascii="Times New Roman"/>
          <w:sz w:val="21"/>
          <w:szCs w:val="21"/>
        </w:rPr>
        <w:t>投标单位（公章）：</w:t>
      </w:r>
    </w:p>
    <w:p>
      <w:pPr>
        <w:rPr>
          <w:szCs w:val="21"/>
        </w:rPr>
      </w:pPr>
    </w:p>
    <w:p>
      <w:pPr>
        <w:pStyle w:val="5"/>
        <w:overflowPunct w:val="0"/>
        <w:spacing w:line="500" w:lineRule="exact"/>
        <w:rPr>
          <w:rFonts w:ascii="Times New Roman"/>
          <w:sz w:val="21"/>
          <w:szCs w:val="21"/>
        </w:rPr>
      </w:pPr>
      <w:r>
        <w:rPr>
          <w:rFonts w:ascii="Times New Roman"/>
          <w:sz w:val="21"/>
          <w:szCs w:val="21"/>
        </w:rPr>
        <w:t xml:space="preserve">                    法定代表人或被授权人（签字或盖章）：</w:t>
      </w:r>
    </w:p>
    <w:p>
      <w:pPr>
        <w:rPr>
          <w:szCs w:val="21"/>
        </w:rPr>
      </w:pPr>
    </w:p>
    <w:p>
      <w:pPr>
        <w:pStyle w:val="5"/>
        <w:overflowPunct w:val="0"/>
        <w:spacing w:line="500" w:lineRule="exact"/>
        <w:rPr>
          <w:rFonts w:ascii="Times New Roman"/>
          <w:sz w:val="21"/>
          <w:szCs w:val="21"/>
        </w:rPr>
      </w:pPr>
      <w:r>
        <w:rPr>
          <w:rFonts w:ascii="Times New Roman"/>
          <w:sz w:val="21"/>
          <w:szCs w:val="21"/>
        </w:rPr>
        <w:t xml:space="preserve">                    日 期：        年     月     日</w:t>
      </w:r>
    </w:p>
    <w:p>
      <w:pPr>
        <w:pStyle w:val="5"/>
        <w:overflowPunct w:val="0"/>
        <w:spacing w:line="500" w:lineRule="exact"/>
        <w:ind w:firstLine="0"/>
        <w:rPr>
          <w:rFonts w:ascii="Times New Roman"/>
          <w:b/>
          <w:color w:val="000000"/>
          <w:sz w:val="32"/>
          <w:szCs w:val="32"/>
        </w:rPr>
      </w:pPr>
    </w:p>
    <w:p>
      <w:pPr>
        <w:pStyle w:val="5"/>
        <w:overflowPunct w:val="0"/>
        <w:spacing w:line="500" w:lineRule="exact"/>
        <w:ind w:firstLine="0"/>
        <w:rPr>
          <w:rFonts w:ascii="Times New Roman"/>
          <w:b/>
          <w:color w:val="000000"/>
          <w:sz w:val="32"/>
          <w:szCs w:val="32"/>
        </w:rPr>
      </w:pPr>
    </w:p>
    <w:p>
      <w:pPr>
        <w:pStyle w:val="5"/>
        <w:overflowPunct w:val="0"/>
        <w:spacing w:line="500" w:lineRule="exact"/>
        <w:ind w:firstLine="0"/>
        <w:rPr>
          <w:rFonts w:ascii="Times New Roman"/>
          <w:b/>
          <w:color w:val="000000"/>
          <w:sz w:val="32"/>
          <w:szCs w:val="32"/>
        </w:rPr>
      </w:pPr>
    </w:p>
    <w:p>
      <w:pPr>
        <w:pStyle w:val="5"/>
        <w:overflowPunct w:val="0"/>
        <w:spacing w:line="500" w:lineRule="exact"/>
        <w:ind w:firstLine="0"/>
        <w:rPr>
          <w:rFonts w:ascii="Times New Roman"/>
          <w:b/>
          <w:color w:val="000000"/>
          <w:sz w:val="32"/>
          <w:szCs w:val="32"/>
        </w:rPr>
      </w:pPr>
    </w:p>
    <w:p>
      <w:pPr>
        <w:pStyle w:val="5"/>
        <w:overflowPunct w:val="0"/>
        <w:spacing w:line="500" w:lineRule="exact"/>
        <w:ind w:firstLine="0"/>
        <w:rPr>
          <w:rFonts w:ascii="Times New Roman"/>
          <w:b/>
          <w:color w:val="000000"/>
          <w:sz w:val="32"/>
          <w:szCs w:val="32"/>
        </w:rPr>
      </w:pPr>
    </w:p>
    <w:p>
      <w:pPr>
        <w:pStyle w:val="5"/>
        <w:overflowPunct w:val="0"/>
        <w:spacing w:line="500" w:lineRule="exact"/>
        <w:ind w:firstLine="0"/>
        <w:rPr>
          <w:rFonts w:ascii="Times New Roman"/>
          <w:b/>
          <w:color w:val="000000"/>
          <w:sz w:val="32"/>
          <w:szCs w:val="32"/>
        </w:rPr>
      </w:pPr>
    </w:p>
    <w:p>
      <w:pPr>
        <w:pStyle w:val="5"/>
        <w:overflowPunct w:val="0"/>
        <w:spacing w:line="500" w:lineRule="exact"/>
        <w:ind w:firstLine="0"/>
        <w:rPr>
          <w:rFonts w:ascii="Times New Roman"/>
          <w:b/>
          <w:color w:val="000000"/>
          <w:sz w:val="32"/>
          <w:szCs w:val="32"/>
        </w:rPr>
      </w:pPr>
    </w:p>
    <w:p>
      <w:pPr>
        <w:pStyle w:val="5"/>
        <w:overflowPunct w:val="0"/>
        <w:spacing w:line="500" w:lineRule="exact"/>
        <w:ind w:firstLine="0"/>
        <w:rPr>
          <w:rFonts w:ascii="Times New Roman"/>
          <w:b/>
          <w:color w:val="000000"/>
          <w:sz w:val="32"/>
          <w:szCs w:val="32"/>
        </w:rPr>
      </w:pPr>
    </w:p>
    <w:p>
      <w:pPr>
        <w:pStyle w:val="5"/>
        <w:overflowPunct w:val="0"/>
        <w:spacing w:line="500" w:lineRule="exact"/>
        <w:ind w:firstLine="0"/>
        <w:rPr>
          <w:rFonts w:ascii="Times New Roman"/>
          <w:b/>
          <w:color w:val="000000"/>
          <w:sz w:val="32"/>
          <w:szCs w:val="32"/>
        </w:rPr>
      </w:pPr>
      <w:r>
        <w:rPr>
          <w:rFonts w:ascii="Times New Roman"/>
          <w:b/>
          <w:color w:val="000000"/>
          <w:sz w:val="32"/>
          <w:szCs w:val="32"/>
        </w:rPr>
        <w:t>附件五：承诺函</w:t>
      </w:r>
    </w:p>
    <w:p>
      <w:pPr>
        <w:pStyle w:val="5"/>
        <w:overflowPunct w:val="0"/>
        <w:spacing w:line="500" w:lineRule="exact"/>
        <w:jc w:val="center"/>
        <w:rPr>
          <w:rFonts w:ascii="Times New Roman"/>
          <w:b/>
          <w:color w:val="000000"/>
          <w:sz w:val="32"/>
          <w:szCs w:val="32"/>
        </w:rPr>
      </w:pPr>
      <w:r>
        <w:rPr>
          <w:rFonts w:ascii="Times New Roman"/>
          <w:b/>
          <w:color w:val="000000"/>
          <w:sz w:val="32"/>
          <w:szCs w:val="32"/>
        </w:rPr>
        <w:t>承 诺 函</w:t>
      </w:r>
    </w:p>
    <w:p>
      <w:pPr>
        <w:pStyle w:val="5"/>
        <w:overflowPunct w:val="0"/>
        <w:spacing w:line="500" w:lineRule="exact"/>
        <w:jc w:val="center"/>
        <w:rPr>
          <w:rFonts w:ascii="Times New Roman"/>
          <w:color w:val="000000"/>
        </w:rPr>
      </w:pPr>
    </w:p>
    <w:p>
      <w:pPr>
        <w:pStyle w:val="5"/>
        <w:overflowPunct w:val="0"/>
        <w:spacing w:line="500" w:lineRule="exact"/>
        <w:ind w:firstLine="0"/>
        <w:rPr>
          <w:rFonts w:ascii="Times New Roman"/>
          <w:color w:val="000000"/>
        </w:rPr>
      </w:pPr>
      <w:r>
        <w:rPr>
          <w:rFonts w:ascii="Times New Roman"/>
          <w:color w:val="000000"/>
        </w:rPr>
        <w:t xml:space="preserve"> </w:t>
      </w:r>
      <w:r>
        <w:rPr>
          <w:rFonts w:ascii="Times New Roman"/>
          <w:color w:val="000000"/>
          <w:u w:val="single"/>
        </w:rPr>
        <w:t xml:space="preserve"> 常州市恒卓建设工程管理咨询有限公司 </w:t>
      </w:r>
      <w:r>
        <w:rPr>
          <w:rFonts w:ascii="Times New Roman"/>
          <w:color w:val="000000"/>
        </w:rPr>
        <w:t>：</w:t>
      </w:r>
    </w:p>
    <w:p>
      <w:pPr>
        <w:pStyle w:val="5"/>
        <w:overflowPunct w:val="0"/>
        <w:spacing w:line="500" w:lineRule="exact"/>
        <w:ind w:firstLine="660"/>
        <w:rPr>
          <w:rFonts w:ascii="Times New Roman"/>
          <w:color w:val="000000"/>
        </w:rPr>
      </w:pPr>
    </w:p>
    <w:p>
      <w:pPr>
        <w:pStyle w:val="5"/>
        <w:overflowPunct w:val="0"/>
        <w:spacing w:line="500" w:lineRule="exact"/>
        <w:ind w:firstLine="660"/>
        <w:rPr>
          <w:rFonts w:ascii="Times New Roman"/>
        </w:rPr>
      </w:pPr>
      <w:r>
        <w:rPr>
          <w:rFonts w:ascii="Times New Roman"/>
        </w:rPr>
        <w:t>本公司愿意参加贵公司组织实施的编号为</w:t>
      </w:r>
      <w:r>
        <w:rPr>
          <w:rFonts w:ascii="Times New Roman"/>
          <w:u w:val="single"/>
        </w:rPr>
        <w:t xml:space="preserve">          </w:t>
      </w:r>
      <w:r>
        <w:rPr>
          <w:rFonts w:ascii="Times New Roman"/>
        </w:rPr>
        <w:t>号的招标活动。本公司承诺：</w:t>
      </w:r>
    </w:p>
    <w:p>
      <w:pPr>
        <w:pStyle w:val="5"/>
        <w:overflowPunct w:val="0"/>
        <w:spacing w:line="500" w:lineRule="exact"/>
        <w:ind w:firstLine="480" w:firstLineChars="200"/>
        <w:rPr>
          <w:rFonts w:ascii="Times New Roman"/>
        </w:rPr>
      </w:pPr>
      <w:r>
        <w:rPr>
          <w:rFonts w:ascii="Times New Roman"/>
        </w:rPr>
        <w:t>1. 本公司依法缴纳税收和社会保障资金；</w:t>
      </w:r>
    </w:p>
    <w:p>
      <w:pPr>
        <w:spacing w:line="360" w:lineRule="auto"/>
        <w:ind w:firstLine="480" w:firstLineChars="200"/>
        <w:rPr>
          <w:sz w:val="24"/>
        </w:rPr>
      </w:pPr>
      <w:r>
        <w:rPr>
          <w:sz w:val="24"/>
        </w:rPr>
        <w:t>2. 本公司参加招标活动前三年内，在经营活动中无重大违法记录或无不良行为记录，无其他法律、行政法规规定的禁止参与招投标活动的行为；</w:t>
      </w:r>
    </w:p>
    <w:p>
      <w:pPr>
        <w:spacing w:line="360" w:lineRule="auto"/>
        <w:ind w:firstLine="480" w:firstLineChars="200"/>
        <w:rPr>
          <w:sz w:val="24"/>
        </w:rPr>
      </w:pPr>
      <w:r>
        <w:rPr>
          <w:sz w:val="24"/>
        </w:rPr>
        <w:t>3. 本公司提交的投标文件中所有关于投标单位资格的文件、证明和陈述均是真实的、准确的。</w:t>
      </w:r>
    </w:p>
    <w:p>
      <w:pPr>
        <w:spacing w:line="360" w:lineRule="auto"/>
        <w:ind w:firstLine="480" w:firstLineChars="200"/>
        <w:rPr>
          <w:sz w:val="24"/>
        </w:rPr>
      </w:pPr>
      <w:r>
        <w:rPr>
          <w:sz w:val="24"/>
        </w:rPr>
        <w:t>若与真实情况不符，本公司愿意承担由此而产生的一切后果。</w:t>
      </w:r>
    </w:p>
    <w:p>
      <w:pPr>
        <w:pStyle w:val="5"/>
        <w:overflowPunct w:val="0"/>
        <w:spacing w:line="500" w:lineRule="exact"/>
        <w:rPr>
          <w:rFonts w:ascii="Times New Roman"/>
        </w:rPr>
      </w:pPr>
    </w:p>
    <w:p>
      <w:pPr>
        <w:pStyle w:val="5"/>
        <w:overflowPunct w:val="0"/>
        <w:spacing w:line="500" w:lineRule="exact"/>
        <w:rPr>
          <w:rFonts w:ascii="Times New Roman"/>
        </w:rPr>
      </w:pPr>
      <w:r>
        <w:rPr>
          <w:rFonts w:ascii="Times New Roman"/>
        </w:rPr>
        <w:tab/>
      </w:r>
      <w:r>
        <w:rPr>
          <w:rFonts w:ascii="Times New Roman"/>
        </w:rPr>
        <w:tab/>
      </w:r>
      <w:r>
        <w:rPr>
          <w:rFonts w:ascii="Times New Roman"/>
        </w:rPr>
        <w:tab/>
      </w:r>
      <w:r>
        <w:rPr>
          <w:rFonts w:ascii="Times New Roman"/>
        </w:rPr>
        <w:tab/>
      </w:r>
      <w:r>
        <w:rPr>
          <w:rFonts w:ascii="Times New Roman"/>
        </w:rPr>
        <w:t xml:space="preserve">        法定代表人或代理人（签字或盖章）：</w:t>
      </w:r>
    </w:p>
    <w:p>
      <w:pPr>
        <w:pStyle w:val="5"/>
        <w:overflowPunct w:val="0"/>
        <w:spacing w:line="500" w:lineRule="exact"/>
        <w:ind w:left="1700" w:firstLine="425"/>
        <w:rPr>
          <w:rFonts w:ascii="Times New Roman"/>
        </w:rPr>
      </w:pPr>
      <w:r>
        <w:rPr>
          <w:rFonts w:ascii="Times New Roman"/>
        </w:rPr>
        <w:t xml:space="preserve">        投标单位（盖章）：</w:t>
      </w:r>
    </w:p>
    <w:p>
      <w:pPr>
        <w:pStyle w:val="5"/>
        <w:overflowPunct w:val="0"/>
        <w:spacing w:line="500" w:lineRule="exact"/>
        <w:rPr>
          <w:rFonts w:ascii="Times New Roman"/>
        </w:rPr>
      </w:pPr>
      <w:r>
        <w:rPr>
          <w:rFonts w:ascii="Times New Roman"/>
        </w:rPr>
        <w:t xml:space="preserve">               </w:t>
      </w:r>
    </w:p>
    <w:p>
      <w:pPr>
        <w:pStyle w:val="5"/>
        <w:overflowPunct w:val="0"/>
        <w:spacing w:line="500" w:lineRule="exact"/>
        <w:ind w:left="3507" w:firstLine="1145"/>
        <w:rPr>
          <w:rFonts w:ascii="Times New Roman"/>
        </w:rPr>
      </w:pPr>
      <w:r>
        <w:rPr>
          <w:rFonts w:ascii="Times New Roman"/>
        </w:rPr>
        <w:t>年</w:t>
      </w:r>
      <w:r>
        <w:rPr>
          <w:rFonts w:ascii="Times New Roman"/>
        </w:rPr>
        <w:tab/>
      </w:r>
      <w:r>
        <w:rPr>
          <w:rFonts w:ascii="Times New Roman"/>
        </w:rPr>
        <w:t xml:space="preserve"> 月 </w:t>
      </w:r>
      <w:r>
        <w:rPr>
          <w:rFonts w:ascii="Times New Roman"/>
        </w:rPr>
        <w:tab/>
      </w:r>
      <w:r>
        <w:rPr>
          <w:rFonts w:ascii="Times New Roman"/>
        </w:rPr>
        <w:t>日</w:t>
      </w:r>
    </w:p>
    <w:p>
      <w:pPr>
        <w:pStyle w:val="5"/>
        <w:overflowPunct w:val="0"/>
        <w:spacing w:line="500" w:lineRule="exact"/>
        <w:ind w:firstLine="0"/>
        <w:rPr>
          <w:rFonts w:ascii="Times New Roman"/>
          <w:b/>
          <w:bCs/>
          <w:color w:val="000000"/>
          <w:sz w:val="32"/>
          <w:szCs w:val="32"/>
        </w:rPr>
      </w:pPr>
    </w:p>
    <w:bookmarkEnd w:id="31"/>
    <w:bookmarkEnd w:id="32"/>
    <w:bookmarkEnd w:id="33"/>
    <w:bookmarkEnd w:id="34"/>
    <w:bookmarkEnd w:id="35"/>
    <w:bookmarkEnd w:id="36"/>
    <w:bookmarkEnd w:id="37"/>
    <w:p>
      <w:pPr>
        <w:spacing w:line="360" w:lineRule="exact"/>
        <w:rPr>
          <w:b/>
          <w:bCs/>
          <w:sz w:val="28"/>
          <w:szCs w:val="28"/>
        </w:rPr>
      </w:pPr>
      <w:bookmarkStart w:id="38" w:name="_Toc331056456"/>
      <w:bookmarkStart w:id="39" w:name="_Toc322436063"/>
      <w:bookmarkStart w:id="40" w:name="_Toc322436008"/>
      <w:bookmarkStart w:id="41" w:name="_Toc330998568"/>
      <w:bookmarkStart w:id="42" w:name="_Toc322435838"/>
      <w:bookmarkStart w:id="43" w:name="_Toc331061677"/>
      <w:bookmarkStart w:id="44" w:name="_Toc322436243"/>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bCs/>
          <w:sz w:val="28"/>
          <w:szCs w:val="28"/>
        </w:rPr>
      </w:pPr>
    </w:p>
    <w:p>
      <w:pPr>
        <w:spacing w:line="360" w:lineRule="exact"/>
        <w:rPr>
          <w:b/>
          <w:sz w:val="28"/>
        </w:rPr>
      </w:pPr>
      <w:r>
        <w:rPr>
          <w:b/>
          <w:bCs/>
          <w:sz w:val="28"/>
          <w:szCs w:val="28"/>
        </w:rPr>
        <w:t>附件六：</w:t>
      </w:r>
      <w:bookmarkEnd w:id="38"/>
      <w:bookmarkEnd w:id="39"/>
      <w:bookmarkEnd w:id="40"/>
      <w:bookmarkEnd w:id="41"/>
      <w:bookmarkEnd w:id="42"/>
      <w:bookmarkEnd w:id="43"/>
      <w:bookmarkEnd w:id="44"/>
      <w:r>
        <w:rPr>
          <w:b/>
          <w:sz w:val="28"/>
        </w:rPr>
        <w:t>偏离表</w:t>
      </w:r>
    </w:p>
    <w:p>
      <w:pPr>
        <w:jc w:val="center"/>
        <w:rPr>
          <w:b/>
          <w:sz w:val="32"/>
          <w:szCs w:val="32"/>
        </w:rPr>
      </w:pPr>
      <w:r>
        <w:rPr>
          <w:b/>
          <w:sz w:val="32"/>
          <w:szCs w:val="32"/>
        </w:rPr>
        <w:t>偏 离 表</w:t>
      </w:r>
    </w:p>
    <w:p>
      <w:pPr>
        <w:rPr>
          <w:b/>
          <w:sz w:val="28"/>
        </w:rPr>
      </w:pPr>
    </w:p>
    <w:p>
      <w:pPr>
        <w:rPr>
          <w:szCs w:val="21"/>
        </w:rPr>
      </w:pPr>
      <w:r>
        <w:rPr>
          <w:szCs w:val="21"/>
        </w:rPr>
        <w:t>投标单位应对招标文件中规定的商务及技术部分给予充分的考虑。为了评审的需要，投标单位应将这些条款的异议逐条提出或根据以下要求的格式提出偏离。</w:t>
      </w:r>
    </w:p>
    <w:p>
      <w:pPr>
        <w:spacing w:line="280" w:lineRule="exact"/>
        <w:rPr>
          <w:szCs w:val="21"/>
        </w:rPr>
      </w:pPr>
      <w:r>
        <w:rPr>
          <w:szCs w:val="21"/>
        </w:rPr>
        <w:t xml:space="preserve">如无偏离，请在本页上写“无”，并附在投标文件中 。  </w:t>
      </w:r>
    </w:p>
    <w:p>
      <w:pPr>
        <w:spacing w:line="280" w:lineRule="exact"/>
        <w:rPr>
          <w:szCs w:val="21"/>
        </w:rPr>
      </w:pPr>
      <w:r>
        <w:rPr>
          <w:szCs w:val="21"/>
        </w:rPr>
        <w:t>项目编号：</w:t>
      </w:r>
    </w:p>
    <w:tbl>
      <w:tblPr>
        <w:tblStyle w:val="23"/>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vAlign w:val="center"/>
          </w:tcPr>
          <w:p>
            <w:pPr>
              <w:rPr>
                <w:szCs w:val="21"/>
              </w:rPr>
            </w:pPr>
            <w:r>
              <w:rPr>
                <w:szCs w:val="21"/>
              </w:rPr>
              <w:t>章节号</w:t>
            </w:r>
          </w:p>
        </w:tc>
        <w:tc>
          <w:tcPr>
            <w:tcW w:w="2132" w:type="dxa"/>
            <w:vAlign w:val="center"/>
          </w:tcPr>
          <w:p>
            <w:pPr>
              <w:rPr>
                <w:szCs w:val="21"/>
              </w:rPr>
            </w:pPr>
            <w:r>
              <w:rPr>
                <w:szCs w:val="21"/>
              </w:rPr>
              <w:t>投标单位的偏离</w:t>
            </w:r>
          </w:p>
        </w:tc>
        <w:tc>
          <w:tcPr>
            <w:tcW w:w="3044" w:type="dxa"/>
            <w:vAlign w:val="center"/>
          </w:tcPr>
          <w:p>
            <w:pPr>
              <w:rPr>
                <w:szCs w:val="21"/>
              </w:rPr>
            </w:pPr>
            <w:r>
              <w:rPr>
                <w:szCs w:val="21"/>
              </w:rPr>
              <w:t>投标单位偏离的理由</w:t>
            </w:r>
          </w:p>
        </w:tc>
        <w:tc>
          <w:tcPr>
            <w:tcW w:w="1440" w:type="dxa"/>
            <w:vAlign w:val="center"/>
          </w:tcPr>
          <w:p>
            <w:pP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32" w:type="dxa"/>
          </w:tcPr>
          <w:p>
            <w:pPr>
              <w:rPr>
                <w:szCs w:val="21"/>
              </w:rPr>
            </w:pPr>
          </w:p>
        </w:tc>
        <w:tc>
          <w:tcPr>
            <w:tcW w:w="2132" w:type="dxa"/>
          </w:tcPr>
          <w:p>
            <w:pPr>
              <w:rPr>
                <w:szCs w:val="21"/>
              </w:rPr>
            </w:pPr>
          </w:p>
        </w:tc>
        <w:tc>
          <w:tcPr>
            <w:tcW w:w="3044" w:type="dxa"/>
          </w:tcPr>
          <w:p>
            <w:pPr>
              <w:rPr>
                <w:szCs w:val="21"/>
              </w:rPr>
            </w:pPr>
          </w:p>
        </w:tc>
        <w:tc>
          <w:tcPr>
            <w:tcW w:w="1440"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32" w:type="dxa"/>
          </w:tcPr>
          <w:p>
            <w:pPr>
              <w:rPr>
                <w:szCs w:val="21"/>
              </w:rPr>
            </w:pPr>
          </w:p>
        </w:tc>
        <w:tc>
          <w:tcPr>
            <w:tcW w:w="2132" w:type="dxa"/>
          </w:tcPr>
          <w:p>
            <w:pPr>
              <w:rPr>
                <w:szCs w:val="21"/>
              </w:rPr>
            </w:pPr>
          </w:p>
        </w:tc>
        <w:tc>
          <w:tcPr>
            <w:tcW w:w="3044" w:type="dxa"/>
          </w:tcPr>
          <w:p>
            <w:pPr>
              <w:rPr>
                <w:szCs w:val="21"/>
              </w:rPr>
            </w:pPr>
          </w:p>
        </w:tc>
        <w:tc>
          <w:tcPr>
            <w:tcW w:w="1440" w:type="dxa"/>
          </w:tcPr>
          <w:p>
            <w:pPr>
              <w:rPr>
                <w:szCs w:val="21"/>
              </w:rPr>
            </w:pPr>
          </w:p>
        </w:tc>
      </w:tr>
    </w:tbl>
    <w:p>
      <w:pPr>
        <w:rPr>
          <w:sz w:val="24"/>
        </w:rPr>
      </w:pPr>
    </w:p>
    <w:p>
      <w:pPr>
        <w:spacing w:line="280" w:lineRule="exact"/>
        <w:rPr>
          <w:szCs w:val="21"/>
        </w:rPr>
      </w:pPr>
      <w:r>
        <w:rPr>
          <w:szCs w:val="21"/>
        </w:rPr>
        <w:t xml:space="preserve">投标单位（盖章）：                    </w:t>
      </w:r>
    </w:p>
    <w:p>
      <w:pPr>
        <w:spacing w:line="280" w:lineRule="exact"/>
        <w:rPr>
          <w:szCs w:val="21"/>
        </w:rPr>
      </w:pPr>
    </w:p>
    <w:p>
      <w:pPr>
        <w:spacing w:line="280" w:lineRule="exact"/>
        <w:rPr>
          <w:szCs w:val="21"/>
        </w:rPr>
      </w:pPr>
      <w:r>
        <w:rPr>
          <w:szCs w:val="21"/>
        </w:rPr>
        <w:t>法定代表人或代理人（签字或盖章）：</w:t>
      </w:r>
    </w:p>
    <w:p>
      <w:pPr>
        <w:spacing w:line="280" w:lineRule="exact"/>
        <w:rPr>
          <w:szCs w:val="21"/>
        </w:rPr>
      </w:pPr>
    </w:p>
    <w:p>
      <w:pPr>
        <w:spacing w:line="280" w:lineRule="exact"/>
        <w:jc w:val="right"/>
        <w:rPr>
          <w:szCs w:val="21"/>
        </w:rPr>
      </w:pPr>
      <w:r>
        <w:rPr>
          <w:szCs w:val="21"/>
        </w:rPr>
        <w:t>年  月  日</w:t>
      </w:r>
    </w:p>
    <w:p>
      <w:pPr>
        <w:spacing w:line="520" w:lineRule="exact"/>
        <w:ind w:firstLine="420" w:firstLineChars="200"/>
        <w:rPr>
          <w:szCs w:val="21"/>
        </w:rPr>
      </w:pPr>
    </w:p>
    <w:p>
      <w:pPr>
        <w:spacing w:line="520" w:lineRule="exact"/>
        <w:ind w:firstLine="360" w:firstLineChars="200"/>
        <w:rPr>
          <w:sz w:val="18"/>
          <w:szCs w:val="18"/>
        </w:rPr>
      </w:pPr>
    </w:p>
    <w:p>
      <w:pPr>
        <w:pStyle w:val="5"/>
        <w:overflowPunct w:val="0"/>
        <w:spacing w:line="500" w:lineRule="exact"/>
        <w:ind w:firstLine="0"/>
        <w:rPr>
          <w:rFonts w:ascii="Times New Roman"/>
          <w:sz w:val="18"/>
          <w:szCs w:val="18"/>
        </w:rPr>
      </w:pPr>
    </w:p>
    <w:p>
      <w:pPr>
        <w:pStyle w:val="5"/>
        <w:overflowPunct w:val="0"/>
        <w:spacing w:line="500" w:lineRule="exact"/>
        <w:ind w:firstLine="0"/>
        <w:rPr>
          <w:rFonts w:ascii="Times New Roman"/>
          <w:sz w:val="18"/>
          <w:szCs w:val="18"/>
        </w:rPr>
      </w:pPr>
    </w:p>
    <w:p>
      <w:pPr>
        <w:rPr>
          <w:szCs w:val="21"/>
        </w:rPr>
      </w:pPr>
    </w:p>
    <w:p>
      <w:pPr>
        <w:rPr>
          <w:szCs w:val="21"/>
        </w:rPr>
      </w:pPr>
    </w:p>
    <w:p>
      <w:pPr>
        <w:rPr>
          <w:szCs w:val="21"/>
        </w:rPr>
      </w:pPr>
    </w:p>
    <w:p>
      <w:pPr>
        <w:rPr>
          <w:szCs w:val="21"/>
        </w:rPr>
      </w:pPr>
    </w:p>
    <w:p>
      <w:pPr>
        <w:spacing w:line="520" w:lineRule="exact"/>
        <w:ind w:firstLine="420" w:firstLineChars="200"/>
        <w:rPr>
          <w:szCs w:val="21"/>
        </w:rPr>
      </w:pPr>
    </w:p>
    <w:p>
      <w:pPr>
        <w:spacing w:line="520" w:lineRule="exact"/>
        <w:ind w:firstLine="420" w:firstLineChars="200"/>
        <w:rPr>
          <w:szCs w:val="21"/>
        </w:rPr>
      </w:pPr>
    </w:p>
    <w:p>
      <w:pPr>
        <w:rPr>
          <w:szCs w:val="21"/>
        </w:rPr>
      </w:pPr>
    </w:p>
    <w:p>
      <w:pPr>
        <w:pStyle w:val="5"/>
        <w:overflowPunct w:val="0"/>
        <w:spacing w:line="500" w:lineRule="exact"/>
        <w:ind w:firstLine="0"/>
        <w:rPr>
          <w:rFonts w:ascii="Times New Roman"/>
          <w:sz w:val="21"/>
          <w:szCs w:val="21"/>
        </w:rPr>
      </w:pPr>
    </w:p>
    <w:p>
      <w:pPr>
        <w:pStyle w:val="5"/>
        <w:overflowPunct w:val="0"/>
        <w:spacing w:line="500" w:lineRule="exact"/>
        <w:ind w:firstLine="0"/>
        <w:rPr>
          <w:rFonts w:ascii="Times New Roman"/>
          <w:sz w:val="21"/>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pStyle w:val="5"/>
        <w:overflowPunct w:val="0"/>
        <w:spacing w:line="500" w:lineRule="exact"/>
        <w:ind w:firstLine="0"/>
        <w:rPr>
          <w:rFonts w:ascii="Times New Roman"/>
          <w:b/>
          <w:bCs/>
          <w:color w:val="000000"/>
          <w:sz w:val="30"/>
          <w:szCs w:val="30"/>
        </w:rPr>
      </w:pPr>
    </w:p>
    <w:p>
      <w:pPr>
        <w:pStyle w:val="5"/>
        <w:overflowPunct w:val="0"/>
        <w:spacing w:line="500" w:lineRule="exact"/>
        <w:ind w:firstLine="0"/>
        <w:rPr>
          <w:rFonts w:ascii="Times New Roman"/>
          <w:b/>
          <w:bCs/>
          <w:color w:val="000000"/>
          <w:sz w:val="30"/>
          <w:szCs w:val="30"/>
        </w:rPr>
      </w:pPr>
      <w:r>
        <w:rPr>
          <w:rFonts w:ascii="Times New Roman"/>
          <w:b/>
          <w:bCs/>
          <w:color w:val="000000"/>
          <w:sz w:val="30"/>
          <w:szCs w:val="30"/>
        </w:rPr>
        <w:t>附件七：服务承诺书</w:t>
      </w:r>
    </w:p>
    <w:p>
      <w:pPr>
        <w:pStyle w:val="2"/>
        <w:tabs>
          <w:tab w:val="left" w:pos="432"/>
        </w:tabs>
        <w:spacing w:line="480" w:lineRule="exact"/>
        <w:rPr>
          <w:rFonts w:ascii="Times New Roman" w:eastAsia="宋体"/>
          <w:b/>
          <w:bCs/>
          <w:color w:val="000000"/>
          <w:sz w:val="32"/>
          <w:szCs w:val="32"/>
        </w:rPr>
      </w:pPr>
    </w:p>
    <w:p>
      <w:pPr>
        <w:pStyle w:val="2"/>
        <w:tabs>
          <w:tab w:val="left" w:pos="432"/>
        </w:tabs>
        <w:spacing w:line="480" w:lineRule="exact"/>
        <w:rPr>
          <w:rFonts w:ascii="Times New Roman" w:eastAsia="宋体"/>
          <w:b/>
          <w:bCs/>
          <w:color w:val="000000"/>
          <w:sz w:val="32"/>
          <w:szCs w:val="32"/>
        </w:rPr>
      </w:pPr>
      <w:r>
        <w:rPr>
          <w:rFonts w:ascii="Times New Roman" w:eastAsia="宋体"/>
          <w:b/>
          <w:bCs/>
          <w:color w:val="000000"/>
          <w:sz w:val="32"/>
          <w:szCs w:val="32"/>
        </w:rPr>
        <w:t>服务承诺书</w:t>
      </w:r>
    </w:p>
    <w:p>
      <w:pPr>
        <w:spacing w:line="360" w:lineRule="auto"/>
        <w:rPr>
          <w:sz w:val="24"/>
        </w:rPr>
      </w:pPr>
    </w:p>
    <w:p>
      <w:pPr>
        <w:spacing w:line="360" w:lineRule="auto"/>
        <w:rPr>
          <w:color w:val="000000"/>
          <w:sz w:val="24"/>
        </w:rPr>
      </w:pPr>
    </w:p>
    <w:p>
      <w:pPr>
        <w:spacing w:line="360" w:lineRule="auto"/>
        <w:ind w:firstLine="2160" w:firstLineChars="900"/>
        <w:rPr>
          <w:color w:val="000000"/>
          <w:sz w:val="24"/>
        </w:rPr>
      </w:pPr>
    </w:p>
    <w:p>
      <w:pPr>
        <w:spacing w:line="360" w:lineRule="auto"/>
        <w:rPr>
          <w:color w:val="000000"/>
          <w:sz w:val="24"/>
        </w:rPr>
      </w:pPr>
      <w:r>
        <w:rPr>
          <w:color w:val="000000"/>
          <w:sz w:val="24"/>
        </w:rPr>
        <w:t>售后服务承诺如下：</w:t>
      </w:r>
    </w:p>
    <w:p>
      <w:pPr>
        <w:spacing w:line="360" w:lineRule="auto"/>
        <w:rPr>
          <w:sz w:val="24"/>
        </w:rPr>
      </w:pPr>
    </w:p>
    <w:p>
      <w:pPr>
        <w:spacing w:line="360" w:lineRule="auto"/>
        <w:rPr>
          <w:sz w:val="24"/>
        </w:rPr>
      </w:pPr>
    </w:p>
    <w:p>
      <w:pPr>
        <w:spacing w:line="360" w:lineRule="auto"/>
        <w:rPr>
          <w:sz w:val="24"/>
        </w:rPr>
      </w:pPr>
    </w:p>
    <w:p>
      <w:pPr>
        <w:pStyle w:val="38"/>
        <w:ind w:firstLine="480"/>
        <w:rPr>
          <w:rFonts w:ascii="Times New Roman" w:hAnsi="Times New Roman"/>
          <w:szCs w:val="24"/>
        </w:rPr>
      </w:pPr>
    </w:p>
    <w:p>
      <w:pPr>
        <w:rPr>
          <w:sz w:val="24"/>
        </w:rPr>
      </w:pPr>
    </w:p>
    <w:p>
      <w:pPr>
        <w:pStyle w:val="38"/>
        <w:ind w:firstLine="480"/>
        <w:rPr>
          <w:rFonts w:ascii="Times New Roman" w:hAnsi="Times New Roman"/>
        </w:rPr>
      </w:pPr>
    </w:p>
    <w:p>
      <w:pPr>
        <w:pStyle w:val="5"/>
        <w:overflowPunct w:val="0"/>
        <w:spacing w:line="500" w:lineRule="exact"/>
        <w:rPr>
          <w:rFonts w:ascii="Times New Roman"/>
          <w:color w:val="000000"/>
        </w:rPr>
      </w:pPr>
      <w:r>
        <w:rPr>
          <w:rFonts w:ascii="Times New Roman"/>
        </w:rPr>
        <w:t xml:space="preserve">                           </w:t>
      </w:r>
      <w:r>
        <w:rPr>
          <w:rFonts w:ascii="Times New Roman"/>
          <w:color w:val="000000"/>
        </w:rPr>
        <w:t xml:space="preserve"> 竞标单位（盖章）：</w:t>
      </w:r>
    </w:p>
    <w:p>
      <w:pPr>
        <w:pStyle w:val="5"/>
        <w:overflowPunct w:val="0"/>
        <w:spacing w:line="500" w:lineRule="exact"/>
        <w:rPr>
          <w:rFonts w:ascii="Times New Roman"/>
          <w:color w:val="000000"/>
        </w:rPr>
      </w:pPr>
      <w:r>
        <w:rPr>
          <w:rFonts w:ascii="Times New Roman"/>
          <w:color w:val="000000"/>
        </w:rPr>
        <w:t xml:space="preserve">                            法定代表人或委托代理人（签字或盖章）：</w:t>
      </w:r>
    </w:p>
    <w:p>
      <w:pPr>
        <w:pStyle w:val="5"/>
        <w:overflowPunct w:val="0"/>
        <w:spacing w:line="500" w:lineRule="exact"/>
        <w:rPr>
          <w:rFonts w:ascii="Times New Roman"/>
          <w:color w:val="000000"/>
        </w:rPr>
      </w:pPr>
      <w:r>
        <w:rPr>
          <w:rFonts w:ascii="Times New Roman"/>
          <w:color w:val="000000"/>
        </w:rPr>
        <w:t xml:space="preserve">                            日 期：</w:t>
      </w:r>
    </w:p>
    <w:p>
      <w:pPr>
        <w:rPr>
          <w:szCs w:val="21"/>
        </w:rPr>
      </w:pPr>
    </w:p>
    <w:p>
      <w:pPr>
        <w:rPr>
          <w:szCs w:val="21"/>
        </w:rPr>
      </w:pPr>
    </w:p>
    <w:p>
      <w:pPr>
        <w:spacing w:line="520" w:lineRule="exact"/>
        <w:rPr>
          <w:szCs w:val="21"/>
        </w:rPr>
      </w:pPr>
      <w:bookmarkStart w:id="45" w:name="_Toc330998570"/>
      <w:bookmarkStart w:id="46" w:name="_Toc331061679"/>
      <w:bookmarkStart w:id="47" w:name="_Toc331056458"/>
    </w:p>
    <w:p>
      <w:pPr>
        <w:spacing w:line="520" w:lineRule="exact"/>
        <w:rPr>
          <w:szCs w:val="21"/>
        </w:rPr>
      </w:pPr>
    </w:p>
    <w:p>
      <w:pPr>
        <w:spacing w:line="520" w:lineRule="exact"/>
        <w:rPr>
          <w:szCs w:val="21"/>
        </w:rPr>
      </w:pPr>
    </w:p>
    <w:p>
      <w:pPr>
        <w:spacing w:line="520" w:lineRule="exact"/>
        <w:rPr>
          <w:szCs w:val="21"/>
        </w:rPr>
      </w:pPr>
    </w:p>
    <w:bookmarkEnd w:id="45"/>
    <w:bookmarkEnd w:id="46"/>
    <w:bookmarkEnd w:id="47"/>
    <w:p>
      <w:pPr>
        <w:spacing w:line="520" w:lineRule="exact"/>
        <w:ind w:firstLine="420" w:firstLineChars="200"/>
        <w:jc w:val="center"/>
        <w:rPr>
          <w:szCs w:val="21"/>
        </w:rPr>
      </w:pPr>
    </w:p>
    <w:p>
      <w:pPr>
        <w:spacing w:line="520" w:lineRule="exact"/>
        <w:ind w:firstLine="420" w:firstLineChars="200"/>
        <w:jc w:val="center"/>
        <w:rPr>
          <w:szCs w:val="21"/>
        </w:rPr>
      </w:pPr>
    </w:p>
    <w:p>
      <w:pPr>
        <w:spacing w:line="520" w:lineRule="exact"/>
        <w:rPr>
          <w:szCs w:val="21"/>
        </w:rPr>
      </w:pPr>
    </w:p>
    <w:p>
      <w:pPr>
        <w:pStyle w:val="5"/>
        <w:overflowPunct w:val="0"/>
        <w:spacing w:line="500" w:lineRule="exact"/>
        <w:ind w:firstLine="0"/>
        <w:rPr>
          <w:rFonts w:ascii="Times New Roman"/>
          <w:b/>
          <w:color w:val="000000"/>
          <w:sz w:val="32"/>
          <w:szCs w:val="32"/>
        </w:rPr>
      </w:pPr>
    </w:p>
    <w:p>
      <w:pPr>
        <w:pStyle w:val="5"/>
        <w:overflowPunct w:val="0"/>
        <w:spacing w:line="500" w:lineRule="exact"/>
        <w:ind w:firstLine="0"/>
        <w:rPr>
          <w:rFonts w:ascii="Times New Roman"/>
          <w:b/>
          <w:color w:val="000000"/>
          <w:sz w:val="32"/>
          <w:szCs w:val="32"/>
        </w:rPr>
      </w:pPr>
    </w:p>
    <w:p>
      <w:pPr>
        <w:pStyle w:val="5"/>
        <w:overflowPunct w:val="0"/>
        <w:spacing w:line="500" w:lineRule="exact"/>
        <w:ind w:firstLine="0"/>
        <w:rPr>
          <w:rFonts w:ascii="Times New Roman"/>
          <w:b/>
          <w:color w:val="000000"/>
          <w:sz w:val="32"/>
          <w:szCs w:val="32"/>
        </w:rPr>
      </w:pPr>
    </w:p>
    <w:p>
      <w:pPr>
        <w:spacing w:line="520" w:lineRule="exact"/>
        <w:rPr>
          <w:szCs w:val="21"/>
        </w:rPr>
      </w:pPr>
    </w:p>
    <w:p>
      <w:pPr>
        <w:spacing w:line="520" w:lineRule="exact"/>
        <w:rPr>
          <w:szCs w:val="21"/>
        </w:rPr>
      </w:pPr>
    </w:p>
    <w:p>
      <w:pPr>
        <w:spacing w:line="360" w:lineRule="auto"/>
        <w:outlineLvl w:val="0"/>
        <w:rPr>
          <w:b/>
          <w:sz w:val="28"/>
          <w:szCs w:val="28"/>
        </w:rPr>
      </w:pPr>
      <w:r>
        <w:rPr>
          <w:b/>
          <w:sz w:val="30"/>
          <w:szCs w:val="30"/>
        </w:rPr>
        <w:t>附件七：未被“信用中国”网站（WWW.creditchina.gov.cn）、“中国政府采购网”网站（www.ccgp.gov.cn）列入失信被执行人、重大税收违法案件当事人名单、政府采购严重失信行为记录名单范本格式</w:t>
      </w:r>
    </w:p>
    <w:p>
      <w:pPr>
        <w:spacing w:line="600" w:lineRule="exact"/>
        <w:ind w:firstLine="562" w:firstLineChars="200"/>
        <w:rPr>
          <w:sz w:val="28"/>
          <w:szCs w:val="28"/>
        </w:rPr>
      </w:pPr>
      <w:r>
        <w:rPr>
          <w:b/>
          <w:bCs/>
          <w:sz w:val="28"/>
          <w:szCs w:val="28"/>
        </w:rPr>
        <w:t>步骤一：</w:t>
      </w:r>
      <w:r>
        <w:rPr>
          <w:sz w:val="28"/>
          <w:szCs w:val="28"/>
        </w:rPr>
        <w:t>各竞标单位在信用中国网站输入单位全称，点击查询按钮后，页面弹出相关单位信息。</w:t>
      </w:r>
    </w:p>
    <w:p>
      <w:pPr>
        <w:spacing w:line="600" w:lineRule="exact"/>
        <w:ind w:firstLine="562" w:firstLineChars="200"/>
        <w:rPr>
          <w:sz w:val="28"/>
          <w:szCs w:val="28"/>
        </w:rPr>
      </w:pPr>
      <w:r>
        <w:rPr>
          <w:b/>
          <w:bCs/>
          <w:sz w:val="28"/>
          <w:szCs w:val="28"/>
        </w:rPr>
        <w:t>步骤二：</w:t>
      </w:r>
      <w:r>
        <w:rPr>
          <w:sz w:val="28"/>
          <w:szCs w:val="28"/>
        </w:rPr>
        <w:t>各竞标单位必须在步骤一显示页面的筛选区域分别点击“失信被执行人”、“重大税收违法案件当事人名单”及“政府采购严重违法失信名单”栏目，并在点击相应栏目后按“图1-图5”格式进行截图，图片显示内容必须清晰可辨。</w:t>
      </w:r>
    </w:p>
    <w:p>
      <w:pPr>
        <w:spacing w:line="600" w:lineRule="exact"/>
        <w:ind w:firstLine="562" w:firstLineChars="200"/>
        <w:rPr>
          <w:sz w:val="28"/>
          <w:szCs w:val="28"/>
        </w:rPr>
      </w:pPr>
      <w:r>
        <w:rPr>
          <w:b/>
          <w:bCs/>
          <w:sz w:val="28"/>
          <w:szCs w:val="28"/>
        </w:rPr>
        <w:t>步骤三：</w:t>
      </w:r>
      <w:r>
        <w:rPr>
          <w:sz w:val="28"/>
          <w:szCs w:val="28"/>
        </w:rPr>
        <w:t>各竞标单位必须在步骤一显示的页面，点击本项目竞标单位的名称后进入相关页面，并按“图4”格式进行截图，图片显示内容必须清晰可辨。</w:t>
      </w:r>
    </w:p>
    <w:p>
      <w:pPr>
        <w:spacing w:line="600" w:lineRule="exact"/>
        <w:ind w:firstLine="560" w:firstLineChars="200"/>
        <w:rPr>
          <w:sz w:val="28"/>
          <w:szCs w:val="28"/>
        </w:rPr>
      </w:pPr>
      <w:r>
        <w:rPr>
          <w:sz w:val="28"/>
          <w:szCs w:val="28"/>
        </w:rPr>
        <w:t>以“常州市恒卓建设工程管理咨询有限公司”为例，各竞标单位在编制响应文件时必须按如下范本“图1-图5”进行操作。各竞标单位在编制文件时，截取的相关图片必须页面横向排版并合理缩放，每张图片均须加盖公章。排版时尽量一张A4纸横向排版、打印一张图片。</w:t>
      </w:r>
    </w:p>
    <w:p>
      <w:pPr>
        <w:widowControl/>
        <w:jc w:val="left"/>
      </w:pPr>
      <w:r>
        <w:drawing>
          <wp:inline distT="0" distB="0" distL="114300" distR="114300">
            <wp:extent cx="5727065" cy="3060700"/>
            <wp:effectExtent l="0" t="0" r="3175" b="2540"/>
            <wp:docPr id="6" name="图片 1" descr="QQ图片202001092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QQ图片20200109211747"/>
                    <pic:cNvPicPr>
                      <a:picLocks noChangeAspect="1"/>
                    </pic:cNvPicPr>
                  </pic:nvPicPr>
                  <pic:blipFill>
                    <a:blip r:embed="rId7"/>
                    <a:stretch>
                      <a:fillRect/>
                    </a:stretch>
                  </pic:blipFill>
                  <pic:spPr>
                    <a:xfrm>
                      <a:off x="0" y="0"/>
                      <a:ext cx="5727065" cy="3060700"/>
                    </a:xfrm>
                    <a:prstGeom prst="rect">
                      <a:avLst/>
                    </a:prstGeom>
                    <a:noFill/>
                    <a:ln>
                      <a:noFill/>
                    </a:ln>
                  </pic:spPr>
                </pic:pic>
              </a:graphicData>
            </a:graphic>
          </wp:inline>
        </w:drawing>
      </w:r>
    </w:p>
    <w:p>
      <w:pPr>
        <w:pStyle w:val="8"/>
        <w:rPr>
          <w:b/>
          <w:bCs/>
          <w:sz w:val="28"/>
          <w:szCs w:val="28"/>
        </w:rPr>
      </w:pPr>
      <w:bookmarkStart w:id="48" w:name="_Toc6184_WPSOffice_Level1"/>
    </w:p>
    <w:p>
      <w:pPr>
        <w:pStyle w:val="8"/>
        <w:rPr>
          <w:b/>
          <w:bCs/>
          <w:sz w:val="28"/>
          <w:szCs w:val="28"/>
        </w:rPr>
      </w:pPr>
      <w:r>
        <w:rPr>
          <w:b/>
          <w:bCs/>
          <w:sz w:val="28"/>
          <w:szCs w:val="28"/>
        </w:rPr>
        <w:t>图1（失信被执行人范本）</w:t>
      </w:r>
      <w:bookmarkEnd w:id="48"/>
    </w:p>
    <w:p>
      <w:pPr>
        <w:widowControl/>
        <w:jc w:val="center"/>
      </w:pPr>
      <w:r>
        <w:rPr>
          <w:kern w:val="0"/>
          <w:sz w:val="24"/>
        </w:rPr>
        <w:drawing>
          <wp:inline distT="0" distB="0" distL="114300" distR="114300">
            <wp:extent cx="6070600" cy="3239135"/>
            <wp:effectExtent l="0" t="0" r="10160" b="6985"/>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8"/>
                    <a:stretch>
                      <a:fillRect/>
                    </a:stretch>
                  </pic:blipFill>
                  <pic:spPr>
                    <a:xfrm>
                      <a:off x="0" y="0"/>
                      <a:ext cx="6070600" cy="3239135"/>
                    </a:xfrm>
                    <a:prstGeom prst="rect">
                      <a:avLst/>
                    </a:prstGeom>
                    <a:noFill/>
                    <a:ln>
                      <a:noFill/>
                    </a:ln>
                  </pic:spPr>
                </pic:pic>
              </a:graphicData>
            </a:graphic>
          </wp:inline>
        </w:drawing>
      </w:r>
    </w:p>
    <w:p/>
    <w:p>
      <w:pPr>
        <w:rPr>
          <w:b/>
          <w:bCs/>
          <w:sz w:val="28"/>
          <w:szCs w:val="28"/>
        </w:rPr>
      </w:pPr>
      <w:bookmarkStart w:id="49" w:name="_Toc5804_WPSOffice_Level1"/>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p>
    <w:p>
      <w:pPr>
        <w:rPr>
          <w:b/>
          <w:bCs/>
          <w:sz w:val="28"/>
          <w:szCs w:val="28"/>
        </w:rPr>
      </w:pPr>
      <w:r>
        <w:rPr>
          <w:b/>
          <w:bCs/>
          <w:sz w:val="28"/>
          <w:szCs w:val="28"/>
        </w:rPr>
        <w:t>图2（企业经营异常名录）</w:t>
      </w:r>
      <w:bookmarkEnd w:id="49"/>
    </w:p>
    <w:p>
      <w:pPr>
        <w:widowControl/>
        <w:jc w:val="left"/>
      </w:pPr>
      <w:r>
        <w:rPr>
          <w:kern w:val="0"/>
          <w:sz w:val="24"/>
        </w:rPr>
        <w:drawing>
          <wp:inline distT="0" distB="0" distL="114300" distR="114300">
            <wp:extent cx="6049010" cy="3331845"/>
            <wp:effectExtent l="0" t="0" r="1270" b="5715"/>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9"/>
                    <a:stretch>
                      <a:fillRect/>
                    </a:stretch>
                  </pic:blipFill>
                  <pic:spPr>
                    <a:xfrm>
                      <a:off x="0" y="0"/>
                      <a:ext cx="6049010" cy="3331845"/>
                    </a:xfrm>
                    <a:prstGeom prst="rect">
                      <a:avLst/>
                    </a:prstGeom>
                    <a:noFill/>
                    <a:ln>
                      <a:noFill/>
                    </a:ln>
                  </pic:spPr>
                </pic:pic>
              </a:graphicData>
            </a:graphic>
          </wp:inline>
        </w:drawing>
      </w:r>
    </w:p>
    <w:p/>
    <w:p>
      <w:pPr>
        <w:pStyle w:val="8"/>
      </w:pPr>
    </w:p>
    <w:p>
      <w:pPr>
        <w:rPr>
          <w:b/>
          <w:bCs/>
          <w:sz w:val="28"/>
          <w:szCs w:val="28"/>
        </w:rPr>
      </w:pPr>
      <w:r>
        <w:rPr>
          <w:b/>
          <w:bCs/>
          <w:sz w:val="28"/>
          <w:szCs w:val="28"/>
        </w:rPr>
        <w:t>图3（重大税收违法案件当事人黑名单范本）</w:t>
      </w:r>
    </w:p>
    <w:p>
      <w:pPr>
        <w:widowControl/>
        <w:jc w:val="left"/>
      </w:pPr>
      <w:r>
        <w:rPr>
          <w:kern w:val="0"/>
          <w:sz w:val="24"/>
        </w:rPr>
        <w:drawing>
          <wp:inline distT="0" distB="0" distL="114300" distR="114300">
            <wp:extent cx="5819775" cy="3122295"/>
            <wp:effectExtent l="0" t="0" r="1905" b="190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10"/>
                    <a:stretch>
                      <a:fillRect/>
                    </a:stretch>
                  </pic:blipFill>
                  <pic:spPr>
                    <a:xfrm>
                      <a:off x="0" y="0"/>
                      <a:ext cx="5819775" cy="3122295"/>
                    </a:xfrm>
                    <a:prstGeom prst="rect">
                      <a:avLst/>
                    </a:prstGeom>
                    <a:noFill/>
                    <a:ln>
                      <a:noFill/>
                    </a:ln>
                  </pic:spPr>
                </pic:pic>
              </a:graphicData>
            </a:graphic>
          </wp:inline>
        </w:drawing>
      </w:r>
    </w:p>
    <w:p/>
    <w:p>
      <w:pPr>
        <w:pStyle w:val="8"/>
      </w:pPr>
    </w:p>
    <w:p>
      <w:pPr>
        <w:pStyle w:val="22"/>
        <w:ind w:firstLine="559"/>
        <w:rPr>
          <w:rFonts w:ascii="Times New Roman" w:hAnsi="Times New Roman"/>
          <w:b/>
          <w:bCs/>
          <w:sz w:val="28"/>
          <w:szCs w:val="28"/>
        </w:rPr>
      </w:pPr>
    </w:p>
    <w:p>
      <w:pPr>
        <w:rPr>
          <w:b/>
          <w:bCs/>
          <w:sz w:val="28"/>
          <w:szCs w:val="28"/>
        </w:rPr>
      </w:pPr>
    </w:p>
    <w:p>
      <w:pPr>
        <w:pStyle w:val="9"/>
        <w:rPr>
          <w:rFonts w:ascii="Times New Roman" w:hAnsi="Times New Roman"/>
        </w:rPr>
      </w:pPr>
    </w:p>
    <w:p>
      <w:pPr>
        <w:pStyle w:val="22"/>
        <w:ind w:firstLine="559"/>
        <w:rPr>
          <w:rFonts w:ascii="Times New Roman" w:hAnsi="Times New Roman"/>
          <w:b/>
          <w:bCs/>
          <w:sz w:val="28"/>
          <w:szCs w:val="28"/>
        </w:rPr>
      </w:pPr>
    </w:p>
    <w:p>
      <w:pPr>
        <w:pStyle w:val="22"/>
        <w:ind w:firstLine="559"/>
        <w:rPr>
          <w:rFonts w:ascii="Times New Roman" w:hAnsi="Times New Roman"/>
          <w:b/>
          <w:bCs/>
          <w:sz w:val="28"/>
          <w:szCs w:val="28"/>
        </w:rPr>
      </w:pPr>
      <w:r>
        <w:rPr>
          <w:rFonts w:ascii="Times New Roman" w:hAnsi="Times New Roman"/>
          <w:b/>
          <w:bCs/>
          <w:sz w:val="28"/>
          <w:szCs w:val="28"/>
        </w:rPr>
        <w:t>图4（相关基本信息范本）</w:t>
      </w:r>
    </w:p>
    <w:p>
      <w:r>
        <w:drawing>
          <wp:inline distT="0" distB="0" distL="114300" distR="114300">
            <wp:extent cx="5332095" cy="2771775"/>
            <wp:effectExtent l="0" t="0" r="1905" b="190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5332095" cy="2771775"/>
                    </a:xfrm>
                    <a:prstGeom prst="rect">
                      <a:avLst/>
                    </a:prstGeom>
                    <a:noFill/>
                    <a:ln>
                      <a:noFill/>
                    </a:ln>
                  </pic:spPr>
                </pic:pic>
              </a:graphicData>
            </a:graphic>
          </wp:inline>
        </w:drawing>
      </w:r>
    </w:p>
    <w:p>
      <w:pPr>
        <w:pStyle w:val="8"/>
      </w:pPr>
    </w:p>
    <w:p>
      <w:pPr>
        <w:pStyle w:val="22"/>
        <w:ind w:firstLine="559"/>
        <w:rPr>
          <w:rFonts w:ascii="Times New Roman" w:hAnsi="Times New Roman"/>
          <w:b/>
          <w:bCs/>
          <w:sz w:val="28"/>
          <w:szCs w:val="28"/>
        </w:rPr>
      </w:pPr>
    </w:p>
    <w:p>
      <w:pPr>
        <w:pStyle w:val="22"/>
        <w:ind w:firstLine="559"/>
        <w:rPr>
          <w:rFonts w:ascii="Times New Roman" w:hAnsi="Times New Roman"/>
          <w:b/>
          <w:bCs/>
          <w:sz w:val="28"/>
          <w:szCs w:val="28"/>
        </w:rPr>
      </w:pPr>
      <w:r>
        <w:rPr>
          <w:rFonts w:ascii="Times New Roman" w:hAnsi="Times New Roman"/>
          <w:b/>
          <w:bCs/>
          <w:sz w:val="28"/>
          <w:szCs w:val="28"/>
        </w:rPr>
        <w:t>图5（政府采购严重失信行为记录名单范本）</w:t>
      </w:r>
    </w:p>
    <w:p>
      <w:pPr>
        <w:widowControl/>
        <w:jc w:val="left"/>
      </w:pPr>
      <w:r>
        <w:rPr>
          <w:kern w:val="0"/>
          <w:sz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Files\\Administrator\\AppData\\Roaming\\Tencent\\Users\\295076508\\QQ\\WinTemp\\RichOle\\3%5dPK%60%5dRI%259053I%5b)K~H3N%7bG.png" \* MERGEFORMAT \d </w:instrText>
      </w:r>
      <w:r>
        <w:rPr>
          <w:kern w:val="0"/>
          <w:sz w:val="24"/>
          <w:lang w:bidi="ar"/>
        </w:rPr>
        <w:fldChar w:fldCharType="separate"/>
      </w:r>
      <w:r>
        <w:rPr>
          <w:kern w:val="0"/>
          <w:sz w:val="24"/>
        </w:rPr>
        <w:drawing>
          <wp:inline distT="0" distB="0" distL="114300" distR="114300">
            <wp:extent cx="5744210" cy="4243070"/>
            <wp:effectExtent l="0" t="0" r="1270" b="889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2"/>
                    <a:stretch>
                      <a:fillRect/>
                    </a:stretch>
                  </pic:blipFill>
                  <pic:spPr>
                    <a:xfrm>
                      <a:off x="0" y="0"/>
                      <a:ext cx="5744210" cy="4243070"/>
                    </a:xfrm>
                    <a:prstGeom prst="rect">
                      <a:avLst/>
                    </a:prstGeom>
                    <a:noFill/>
                    <a:ln>
                      <a:noFill/>
                    </a:ln>
                  </pic:spPr>
                </pic:pic>
              </a:graphicData>
            </a:graphic>
          </wp:inline>
        </w:drawing>
      </w:r>
      <w:r>
        <w:rPr>
          <w:kern w:val="0"/>
          <w:sz w:val="24"/>
          <w:lang w:bidi="ar"/>
        </w:rPr>
        <w:fldChar w:fldCharType="end"/>
      </w:r>
    </w:p>
    <w:p/>
    <w:p>
      <w:pPr>
        <w:pStyle w:val="22"/>
        <w:ind w:firstLine="419"/>
        <w:rPr>
          <w:rFonts w:ascii="Times New Roman" w:hAnsi="Times New Roman"/>
        </w:rPr>
      </w:pPr>
    </w:p>
    <w:p/>
    <w:p>
      <w:pPr>
        <w:pStyle w:val="9"/>
        <w:rPr>
          <w:rFonts w:ascii="Times New Roman" w:hAnsi="Times New Roman"/>
        </w:rPr>
      </w:pPr>
    </w:p>
    <w:p/>
    <w:p>
      <w:pPr>
        <w:pStyle w:val="9"/>
        <w:rPr>
          <w:rFonts w:ascii="Times New Roman" w:hAnsi="Times New Roman"/>
        </w:rPr>
      </w:pPr>
    </w:p>
    <w:p>
      <w:pPr>
        <w:widowControl/>
        <w:jc w:val="left"/>
        <w:rPr>
          <w:kern w:val="0"/>
          <w:sz w:val="24"/>
          <w:lang w:bidi="ar"/>
        </w:rPr>
      </w:pPr>
      <w:r>
        <w:rPr>
          <w:kern w:val="0"/>
          <w:sz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Files\\Administrator\\AppData\\Roaming\\Tencent\\Users\\295076508\\QQ\\WinTemp\\RichOle\\)RSBO~E1GS%25PNMO676NU%7bE6.png" \* MERGEFORMAT \d </w:instrText>
      </w:r>
      <w:r>
        <w:rPr>
          <w:kern w:val="0"/>
          <w:sz w:val="24"/>
          <w:lang w:bidi="ar"/>
        </w:rPr>
        <w:fldChar w:fldCharType="separate"/>
      </w:r>
      <w:r>
        <w:rPr>
          <w:kern w:val="0"/>
          <w:sz w:val="24"/>
        </w:rPr>
        <w:drawing>
          <wp:inline distT="0" distB="0" distL="114300" distR="114300">
            <wp:extent cx="5785485" cy="2611755"/>
            <wp:effectExtent l="0" t="0" r="5715" b="952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3"/>
                    <a:stretch>
                      <a:fillRect/>
                    </a:stretch>
                  </pic:blipFill>
                  <pic:spPr>
                    <a:xfrm>
                      <a:off x="0" y="0"/>
                      <a:ext cx="5785485" cy="2611755"/>
                    </a:xfrm>
                    <a:prstGeom prst="rect">
                      <a:avLst/>
                    </a:prstGeom>
                    <a:noFill/>
                    <a:ln>
                      <a:noFill/>
                    </a:ln>
                  </pic:spPr>
                </pic:pic>
              </a:graphicData>
            </a:graphic>
          </wp:inline>
        </w:drawing>
      </w:r>
      <w:r>
        <w:rPr>
          <w:kern w:val="0"/>
          <w:sz w:val="24"/>
          <w:lang w:bidi="ar"/>
        </w:rPr>
        <w:fldChar w:fldCharType="end"/>
      </w:r>
    </w:p>
    <w:p>
      <w:pPr>
        <w:pStyle w:val="8"/>
        <w:rPr>
          <w:kern w:val="0"/>
          <w:sz w:val="24"/>
          <w:lang w:bidi="ar"/>
        </w:rPr>
      </w:pPr>
    </w:p>
    <w:p/>
    <w:p>
      <w:pPr>
        <w:pStyle w:val="22"/>
        <w:ind w:firstLine="419"/>
        <w:rPr>
          <w:rFonts w:ascii="Times New Roman" w:hAnsi="Times New Roman"/>
        </w:rPr>
      </w:pPr>
    </w:p>
    <w:p>
      <w:r>
        <w:drawing>
          <wp:inline distT="0" distB="0" distL="114300" distR="114300">
            <wp:extent cx="5730875" cy="3590925"/>
            <wp:effectExtent l="0" t="0" r="14605" b="5715"/>
            <wp:docPr id="7" name="图片 8" descr="5da10d1d070020c943fffc7b2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5da10d1d070020c943fffc7b2093462"/>
                    <pic:cNvPicPr>
                      <a:picLocks noChangeAspect="1"/>
                    </pic:cNvPicPr>
                  </pic:nvPicPr>
                  <pic:blipFill>
                    <a:blip r:embed="rId14"/>
                    <a:stretch>
                      <a:fillRect/>
                    </a:stretch>
                  </pic:blipFill>
                  <pic:spPr>
                    <a:xfrm>
                      <a:off x="0" y="0"/>
                      <a:ext cx="5730875" cy="3590925"/>
                    </a:xfrm>
                    <a:prstGeom prst="rect">
                      <a:avLst/>
                    </a:prstGeom>
                    <a:noFill/>
                    <a:ln>
                      <a:noFill/>
                    </a:ln>
                  </pic:spPr>
                </pic:pic>
              </a:graphicData>
            </a:graphic>
          </wp:inline>
        </w:drawing>
      </w:r>
    </w:p>
    <w:p/>
    <w:p/>
    <w:p>
      <w:pPr>
        <w:pStyle w:val="8"/>
      </w:pPr>
    </w:p>
    <w:p/>
    <w:p>
      <w:pPr>
        <w:pStyle w:val="4"/>
      </w:pPr>
    </w:p>
    <w:p>
      <w:pPr>
        <w:pStyle w:val="8"/>
      </w:pPr>
    </w:p>
    <w:p/>
    <w:p/>
    <w:p>
      <w:pPr>
        <w:pStyle w:val="2"/>
        <w:rPr>
          <w:rFonts w:ascii="Times New Roman" w:eastAsia="宋体"/>
          <w:color w:val="000000"/>
        </w:rPr>
      </w:pPr>
      <w:bookmarkStart w:id="50" w:name="_Toc17534523"/>
      <w:r>
        <w:rPr>
          <w:rFonts w:ascii="Times New Roman" w:eastAsia="宋体"/>
          <w:b/>
          <w:bCs/>
          <w:color w:val="000000"/>
          <w:sz w:val="30"/>
          <w:szCs w:val="30"/>
        </w:rPr>
        <w:t>友 情 提 醒</w:t>
      </w:r>
      <w:bookmarkEnd w:id="50"/>
    </w:p>
    <w:p>
      <w:pPr>
        <w:spacing w:line="520" w:lineRule="exact"/>
        <w:rPr>
          <w:color w:val="000000"/>
          <w:sz w:val="24"/>
        </w:rPr>
      </w:pPr>
      <w:r>
        <w:rPr>
          <w:color w:val="000000"/>
          <w:sz w:val="24"/>
        </w:rPr>
        <w:t>各竞标单位：</w:t>
      </w:r>
    </w:p>
    <w:p>
      <w:pPr>
        <w:spacing w:line="520" w:lineRule="exact"/>
        <w:ind w:firstLine="480" w:firstLineChars="200"/>
        <w:rPr>
          <w:color w:val="000000"/>
          <w:sz w:val="24"/>
        </w:rPr>
      </w:pPr>
      <w:r>
        <w:rPr>
          <w:color w:val="000000"/>
          <w:sz w:val="24"/>
        </w:rPr>
        <w:t>您好！</w:t>
      </w:r>
    </w:p>
    <w:p>
      <w:pPr>
        <w:spacing w:line="520" w:lineRule="exact"/>
        <w:ind w:firstLine="480" w:firstLineChars="200"/>
        <w:rPr>
          <w:color w:val="000000"/>
          <w:sz w:val="24"/>
        </w:rPr>
      </w:pPr>
      <w:r>
        <w:rPr>
          <w:color w:val="000000"/>
          <w:sz w:val="24"/>
        </w:rPr>
        <w:t>为了提高贵单位的响应文件的有效性，减少不必要的无效投标，特友情提醒注意以下几点：</w:t>
      </w:r>
    </w:p>
    <w:p>
      <w:pPr>
        <w:spacing w:line="520" w:lineRule="exact"/>
        <w:ind w:firstLine="480" w:firstLineChars="200"/>
        <w:rPr>
          <w:color w:val="000000"/>
          <w:sz w:val="24"/>
        </w:rPr>
      </w:pPr>
      <w:r>
        <w:rPr>
          <w:color w:val="000000"/>
          <w:sz w:val="24"/>
        </w:rPr>
        <w:t>1.请谨记招标文件上表述的</w:t>
      </w:r>
      <w:r>
        <w:rPr>
          <w:b/>
          <w:color w:val="000000"/>
          <w:sz w:val="24"/>
        </w:rPr>
        <w:t>各项事宜时间节点</w:t>
      </w:r>
      <w:r>
        <w:rPr>
          <w:color w:val="000000"/>
          <w:sz w:val="24"/>
        </w:rPr>
        <w:t>，特别是</w:t>
      </w:r>
      <w:r>
        <w:rPr>
          <w:b/>
          <w:color w:val="000000"/>
          <w:sz w:val="24"/>
        </w:rPr>
        <w:t>开标时间和地点</w:t>
      </w:r>
      <w:r>
        <w:rPr>
          <w:color w:val="000000"/>
          <w:sz w:val="24"/>
        </w:rPr>
        <w:t>，迟到的将一律不能进入开标室</w:t>
      </w:r>
    </w:p>
    <w:p>
      <w:pPr>
        <w:spacing w:line="520" w:lineRule="exact"/>
        <w:ind w:firstLine="480" w:firstLineChars="200"/>
        <w:rPr>
          <w:color w:val="000000"/>
          <w:sz w:val="24"/>
        </w:rPr>
      </w:pPr>
      <w:r>
        <w:rPr>
          <w:color w:val="000000"/>
          <w:sz w:val="24"/>
        </w:rPr>
        <w:t>2.投标保证金一定要从</w:t>
      </w:r>
      <w:r>
        <w:rPr>
          <w:b/>
          <w:color w:val="000000"/>
          <w:sz w:val="24"/>
        </w:rPr>
        <w:t>竞标单位账户</w:t>
      </w:r>
      <w:r>
        <w:rPr>
          <w:color w:val="000000"/>
          <w:sz w:val="24"/>
        </w:rPr>
        <w:t>按招标文件规定的</w:t>
      </w:r>
      <w:r>
        <w:rPr>
          <w:b/>
          <w:color w:val="000000"/>
          <w:sz w:val="24"/>
        </w:rPr>
        <w:t>方式和时间</w:t>
      </w:r>
      <w:r>
        <w:rPr>
          <w:color w:val="000000"/>
          <w:sz w:val="24"/>
        </w:rPr>
        <w:t>缴至</w:t>
      </w:r>
      <w:r>
        <w:rPr>
          <w:b/>
          <w:color w:val="000000"/>
          <w:sz w:val="24"/>
        </w:rPr>
        <w:t>指定账户并到账</w:t>
      </w:r>
      <w:r>
        <w:rPr>
          <w:color w:val="000000"/>
          <w:sz w:val="24"/>
        </w:rPr>
        <w:t>，拒绝以其它方式缴纳，禁止第三方代缴保证金。</w:t>
      </w:r>
    </w:p>
    <w:p>
      <w:pPr>
        <w:spacing w:line="520" w:lineRule="exact"/>
        <w:ind w:firstLine="480" w:firstLineChars="200"/>
        <w:rPr>
          <w:color w:val="000000"/>
          <w:sz w:val="24"/>
        </w:rPr>
      </w:pPr>
      <w:r>
        <w:rPr>
          <w:color w:val="000000"/>
          <w:sz w:val="24"/>
        </w:rPr>
        <w:t>3.响应文件</w:t>
      </w:r>
      <w:r>
        <w:rPr>
          <w:b/>
          <w:color w:val="000000"/>
          <w:sz w:val="24"/>
        </w:rPr>
        <w:t>应按要求密封，U盘单独密封，</w:t>
      </w:r>
      <w:r>
        <w:rPr>
          <w:color w:val="000000"/>
          <w:sz w:val="24"/>
        </w:rPr>
        <w:t>并在封袋上加盖</w:t>
      </w:r>
      <w:r>
        <w:rPr>
          <w:b/>
          <w:color w:val="000000"/>
          <w:sz w:val="24"/>
        </w:rPr>
        <w:t>竞标单位公章</w:t>
      </w:r>
      <w:r>
        <w:rPr>
          <w:color w:val="000000"/>
          <w:sz w:val="24"/>
        </w:rPr>
        <w:t>。</w:t>
      </w:r>
    </w:p>
    <w:p>
      <w:pPr>
        <w:spacing w:line="520" w:lineRule="exact"/>
        <w:ind w:firstLine="480" w:firstLineChars="200"/>
        <w:rPr>
          <w:color w:val="000000"/>
          <w:sz w:val="24"/>
        </w:rPr>
      </w:pPr>
      <w:r>
        <w:rPr>
          <w:color w:val="000000"/>
          <w:sz w:val="24"/>
        </w:rPr>
        <w:t>4.响应文件中的证明文件及资料需提供复印件并加盖</w:t>
      </w:r>
      <w:r>
        <w:rPr>
          <w:b/>
          <w:color w:val="000000"/>
          <w:sz w:val="24"/>
        </w:rPr>
        <w:t>公章</w:t>
      </w:r>
      <w:r>
        <w:rPr>
          <w:color w:val="000000"/>
          <w:sz w:val="24"/>
        </w:rPr>
        <w:t>，有要求提供原件或公证件的必须将原件或公证件携带至开标现场备查或核查。</w:t>
      </w:r>
    </w:p>
    <w:p>
      <w:pPr>
        <w:spacing w:line="520" w:lineRule="exact"/>
        <w:ind w:firstLine="480" w:firstLineChars="200"/>
        <w:rPr>
          <w:color w:val="000000"/>
          <w:sz w:val="24"/>
        </w:rPr>
      </w:pPr>
      <w:r>
        <w:rPr>
          <w:color w:val="000000"/>
          <w:sz w:val="24"/>
        </w:rPr>
        <w:t>5.需要提供样品的，请严格按招标文件要求提供，同时注意</w:t>
      </w:r>
      <w:r>
        <w:rPr>
          <w:b/>
          <w:color w:val="000000"/>
          <w:sz w:val="24"/>
        </w:rPr>
        <w:t>密封、隐蔽</w:t>
      </w:r>
      <w:r>
        <w:rPr>
          <w:color w:val="000000"/>
          <w:sz w:val="24"/>
        </w:rPr>
        <w:t>标签的相关要求。</w:t>
      </w:r>
    </w:p>
    <w:p>
      <w:pPr>
        <w:spacing w:line="520" w:lineRule="exact"/>
        <w:ind w:firstLine="480" w:firstLineChars="200"/>
        <w:rPr>
          <w:color w:val="000000"/>
          <w:sz w:val="24"/>
        </w:rPr>
      </w:pPr>
      <w:r>
        <w:rPr>
          <w:color w:val="000000"/>
          <w:sz w:val="24"/>
        </w:rPr>
        <w:t>6.因招标文件文字表述有限，鼓励您</w:t>
      </w:r>
      <w:r>
        <w:rPr>
          <w:b/>
          <w:color w:val="000000"/>
          <w:sz w:val="24"/>
        </w:rPr>
        <w:t>现场踏勘</w:t>
      </w:r>
      <w:r>
        <w:rPr>
          <w:color w:val="000000"/>
          <w:sz w:val="24"/>
        </w:rPr>
        <w:t>，可以在投标前充分了解现场环境、项目进度和质量要求等信息，为贵单位有针对性的制作响应文件积累充分的原始资料。</w:t>
      </w:r>
    </w:p>
    <w:p>
      <w:pPr>
        <w:spacing w:line="520" w:lineRule="exact"/>
        <w:ind w:firstLine="480" w:firstLineChars="200"/>
        <w:rPr>
          <w:color w:val="000000"/>
          <w:sz w:val="24"/>
        </w:rPr>
      </w:pPr>
      <w:r>
        <w:rPr>
          <w:color w:val="000000"/>
          <w:sz w:val="24"/>
        </w:rPr>
        <w:t>7.设定</w:t>
      </w:r>
      <w:r>
        <w:rPr>
          <w:b/>
          <w:color w:val="000000"/>
          <w:sz w:val="24"/>
        </w:rPr>
        <w:t>最高限价</w:t>
      </w:r>
      <w:r>
        <w:rPr>
          <w:color w:val="000000"/>
          <w:sz w:val="24"/>
        </w:rPr>
        <w:t>的，超过限价一律废标。</w:t>
      </w:r>
    </w:p>
    <w:p>
      <w:pPr>
        <w:spacing w:line="520" w:lineRule="exact"/>
        <w:ind w:firstLine="480" w:firstLineChars="200"/>
        <w:rPr>
          <w:color w:val="000000"/>
          <w:sz w:val="24"/>
        </w:rPr>
      </w:pPr>
      <w:r>
        <w:rPr>
          <w:color w:val="000000"/>
          <w:sz w:val="24"/>
        </w:rPr>
        <w:t>8.请精心仔细</w:t>
      </w:r>
      <w:r>
        <w:rPr>
          <w:b/>
          <w:color w:val="000000"/>
          <w:sz w:val="24"/>
        </w:rPr>
        <w:t>审阅招标文件,特别是加粗部分的文字</w:t>
      </w:r>
      <w:r>
        <w:rPr>
          <w:color w:val="000000"/>
          <w:sz w:val="24"/>
        </w:rPr>
        <w:t>。如有疑问，请按招标文件要求进行询疑。</w:t>
      </w:r>
    </w:p>
    <w:p>
      <w:pPr>
        <w:spacing w:line="520" w:lineRule="exact"/>
        <w:ind w:firstLine="480" w:firstLineChars="200"/>
        <w:rPr>
          <w:color w:val="000000"/>
          <w:sz w:val="24"/>
        </w:rPr>
      </w:pPr>
    </w:p>
    <w:p>
      <w:pPr>
        <w:spacing w:line="520" w:lineRule="exact"/>
        <w:ind w:firstLine="480" w:firstLineChars="200"/>
        <w:rPr>
          <w:color w:val="000000"/>
          <w:sz w:val="24"/>
        </w:rPr>
      </w:pPr>
      <w:r>
        <w:rPr>
          <w:color w:val="000000"/>
          <w:sz w:val="24"/>
        </w:rPr>
        <w:t>我单位十分欢迎贵单位对招标采购组织工作提出宝贵意见和建议。电话：0519-83999568</w:t>
      </w:r>
    </w:p>
    <w:p>
      <w:pPr>
        <w:spacing w:line="520" w:lineRule="exact"/>
        <w:ind w:firstLine="480" w:firstLineChars="200"/>
        <w:rPr>
          <w:color w:val="000000"/>
          <w:sz w:val="24"/>
        </w:rPr>
      </w:pPr>
      <w:r>
        <w:rPr>
          <w:color w:val="000000"/>
          <w:sz w:val="24"/>
        </w:rPr>
        <w:t>最后祝贵单位投标成功！</w:t>
      </w:r>
    </w:p>
    <w:p>
      <w:pPr>
        <w:spacing w:line="520" w:lineRule="exact"/>
        <w:rPr>
          <w:color w:val="000000"/>
          <w:sz w:val="24"/>
        </w:rPr>
      </w:pPr>
    </w:p>
    <w:p>
      <w:pPr>
        <w:spacing w:line="520" w:lineRule="exact"/>
        <w:jc w:val="center"/>
        <w:rPr>
          <w:bCs/>
          <w:color w:val="000000"/>
          <w:sz w:val="24"/>
        </w:rPr>
      </w:pPr>
      <w:r>
        <w:rPr>
          <w:bCs/>
          <w:color w:val="000000"/>
          <w:sz w:val="24"/>
        </w:rPr>
        <w:t>本招标文件的最终解释权归常州市恒卓建设工程管理咨询有限公司所有。</w:t>
      </w:r>
    </w:p>
    <w:p>
      <w:pPr>
        <w:jc w:val="center"/>
      </w:pPr>
      <w:r>
        <w:rPr>
          <w:b/>
          <w:color w:val="000000"/>
          <w:sz w:val="32"/>
        </w:rPr>
        <w:t>（全文完）</w:t>
      </w:r>
    </w:p>
    <w:p/>
    <w:sectPr>
      <w:pgSz w:w="11906" w:h="16838"/>
      <w:pgMar w:top="1440" w:right="1440" w:bottom="1440" w:left="1440" w:header="851" w:footer="992" w:gutter="0"/>
      <w:cols w:space="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right" w:pos="8307"/>
        <w:tab w:val="clear" w:pos="8306"/>
      </w:tabs>
      <w:ind w:right="360" w:firstLine="360"/>
      <w:rPr>
        <w:rFonts w:ascii="仿宋_GB2312" w:hAnsi="宋体"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right" w:pos="8307"/>
                              <w:tab w:val="clear" w:pos="8306"/>
                            </w:tabs>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36</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5"/>
                      <w:tabs>
                        <w:tab w:val="right" w:pos="8307"/>
                        <w:tab w:val="clear" w:pos="8306"/>
                      </w:tabs>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4</w:t>
                    </w:r>
                    <w:r>
                      <w:rPr>
                        <w:rFonts w:hint="eastAsia"/>
                      </w:rPr>
                      <w:fldChar w:fldCharType="end"/>
                    </w:r>
                    <w:r>
                      <w:rPr>
                        <w:rFonts w:hint="eastAsia"/>
                      </w:rPr>
                      <w:t xml:space="preserve"> 页 共 </w:t>
                    </w:r>
                    <w:r>
                      <w:fldChar w:fldCharType="begin"/>
                    </w:r>
                    <w:r>
                      <w:instrText xml:space="preserve"> NUMPAGES  \* MERGEFORMAT </w:instrText>
                    </w:r>
                    <w:r>
                      <w:fldChar w:fldCharType="separate"/>
                    </w:r>
                    <w:r>
                      <w:t>36</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sz w:val="20"/>
        <w:szCs w:val="20"/>
      </w:rPr>
    </w:pPr>
    <w:r>
      <w:rPr>
        <w:rFonts w:hint="eastAsia" w:ascii="宋体"/>
        <w:sz w:val="20"/>
        <w:szCs w:val="20"/>
      </w:rPr>
      <w:t>常州市恒卓建设工程管理咨询有限公司询价采购文件</w:t>
    </w:r>
  </w:p>
  <w:p>
    <w:pPr>
      <w:pStyle w:val="17"/>
      <w:pBdr>
        <w:bottom w:val="none" w:color="auto" w:sz="0" w:space="0"/>
      </w:pBdr>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1836420"/>
          <wp:effectExtent l="0" t="0" r="13970" b="7620"/>
          <wp:wrapNone/>
          <wp:docPr id="151" name="WordPictureWatermark23768" descr="ea2575d9d47bbff831b2cc4d5fb2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ordPictureWatermark23768" descr="ea2575d9d47bbff831b2cc4d5fb24ec"/>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5FB497"/>
    <w:multiLevelType w:val="singleLevel"/>
    <w:tmpl w:val="9B5FB497"/>
    <w:lvl w:ilvl="0" w:tentative="0">
      <w:start w:val="1"/>
      <w:numFmt w:val="chineseCounting"/>
      <w:suff w:val="nothing"/>
      <w:lvlText w:val="%1、"/>
      <w:lvlJc w:val="left"/>
      <w:rPr>
        <w:rFonts w:hint="eastAsia"/>
      </w:rPr>
    </w:lvl>
  </w:abstractNum>
  <w:abstractNum w:abstractNumId="1">
    <w:nsid w:val="59CEF3CD"/>
    <w:multiLevelType w:val="singleLevel"/>
    <w:tmpl w:val="59CEF3CD"/>
    <w:lvl w:ilvl="0" w:tentative="0">
      <w:start w:val="2"/>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cyNzMwZjFhZjc0Mzg1YWNiYzA0MzlmMDBjYTA1YjgifQ=="/>
  </w:docVars>
  <w:rsids>
    <w:rsidRoot w:val="009E4CA0"/>
    <w:rsid w:val="0000015E"/>
    <w:rsid w:val="000046E6"/>
    <w:rsid w:val="000051D1"/>
    <w:rsid w:val="0000605A"/>
    <w:rsid w:val="00007E12"/>
    <w:rsid w:val="000170C0"/>
    <w:rsid w:val="00017AF7"/>
    <w:rsid w:val="00020B95"/>
    <w:rsid w:val="000213CA"/>
    <w:rsid w:val="00022CA1"/>
    <w:rsid w:val="00026845"/>
    <w:rsid w:val="000309B0"/>
    <w:rsid w:val="00032807"/>
    <w:rsid w:val="00032BB1"/>
    <w:rsid w:val="000359EF"/>
    <w:rsid w:val="00042741"/>
    <w:rsid w:val="00043102"/>
    <w:rsid w:val="0004655B"/>
    <w:rsid w:val="000475C6"/>
    <w:rsid w:val="00050D48"/>
    <w:rsid w:val="00052D24"/>
    <w:rsid w:val="000563B5"/>
    <w:rsid w:val="00056C3E"/>
    <w:rsid w:val="0006706D"/>
    <w:rsid w:val="00070B43"/>
    <w:rsid w:val="000748E1"/>
    <w:rsid w:val="0007772F"/>
    <w:rsid w:val="00077D25"/>
    <w:rsid w:val="0008351C"/>
    <w:rsid w:val="000838AA"/>
    <w:rsid w:val="00084882"/>
    <w:rsid w:val="00094F31"/>
    <w:rsid w:val="000A3D42"/>
    <w:rsid w:val="000A65FB"/>
    <w:rsid w:val="000A7C8B"/>
    <w:rsid w:val="000A7F41"/>
    <w:rsid w:val="000B05D9"/>
    <w:rsid w:val="000B4FF8"/>
    <w:rsid w:val="000C0E16"/>
    <w:rsid w:val="000D16D2"/>
    <w:rsid w:val="000D2FD8"/>
    <w:rsid w:val="000E04BC"/>
    <w:rsid w:val="000E1E41"/>
    <w:rsid w:val="000E5586"/>
    <w:rsid w:val="000E6024"/>
    <w:rsid w:val="000E6B27"/>
    <w:rsid w:val="000E7FA0"/>
    <w:rsid w:val="00100B7F"/>
    <w:rsid w:val="00101C3E"/>
    <w:rsid w:val="00103414"/>
    <w:rsid w:val="00106E02"/>
    <w:rsid w:val="0011226F"/>
    <w:rsid w:val="00116E2B"/>
    <w:rsid w:val="001241FB"/>
    <w:rsid w:val="001256B4"/>
    <w:rsid w:val="00126A7B"/>
    <w:rsid w:val="00131492"/>
    <w:rsid w:val="001334A5"/>
    <w:rsid w:val="00134CA9"/>
    <w:rsid w:val="00142359"/>
    <w:rsid w:val="00142E73"/>
    <w:rsid w:val="0014692A"/>
    <w:rsid w:val="00154D4C"/>
    <w:rsid w:val="00154FCE"/>
    <w:rsid w:val="00155458"/>
    <w:rsid w:val="001566BA"/>
    <w:rsid w:val="00156D57"/>
    <w:rsid w:val="0015744E"/>
    <w:rsid w:val="00165207"/>
    <w:rsid w:val="00165F03"/>
    <w:rsid w:val="00171716"/>
    <w:rsid w:val="0017228A"/>
    <w:rsid w:val="00172378"/>
    <w:rsid w:val="00173274"/>
    <w:rsid w:val="00173B8F"/>
    <w:rsid w:val="001829B6"/>
    <w:rsid w:val="00182ADF"/>
    <w:rsid w:val="001963E4"/>
    <w:rsid w:val="00196A6A"/>
    <w:rsid w:val="00196D0A"/>
    <w:rsid w:val="00197439"/>
    <w:rsid w:val="001A0B12"/>
    <w:rsid w:val="001A7824"/>
    <w:rsid w:val="001B0088"/>
    <w:rsid w:val="001B03A6"/>
    <w:rsid w:val="001B29D8"/>
    <w:rsid w:val="001B77E7"/>
    <w:rsid w:val="001D604A"/>
    <w:rsid w:val="001E1B5B"/>
    <w:rsid w:val="001E1F59"/>
    <w:rsid w:val="001E7770"/>
    <w:rsid w:val="001E7889"/>
    <w:rsid w:val="001F057B"/>
    <w:rsid w:val="001F14D8"/>
    <w:rsid w:val="001F2D25"/>
    <w:rsid w:val="001F4A45"/>
    <w:rsid w:val="001F4BDB"/>
    <w:rsid w:val="001F4CC4"/>
    <w:rsid w:val="00201EF5"/>
    <w:rsid w:val="002030A5"/>
    <w:rsid w:val="00205A38"/>
    <w:rsid w:val="00206245"/>
    <w:rsid w:val="002116FB"/>
    <w:rsid w:val="00211C64"/>
    <w:rsid w:val="00211E28"/>
    <w:rsid w:val="00216BB0"/>
    <w:rsid w:val="00224154"/>
    <w:rsid w:val="0022467D"/>
    <w:rsid w:val="002270B0"/>
    <w:rsid w:val="00236564"/>
    <w:rsid w:val="0023776F"/>
    <w:rsid w:val="00242340"/>
    <w:rsid w:val="00242CC9"/>
    <w:rsid w:val="002504D1"/>
    <w:rsid w:val="002507D9"/>
    <w:rsid w:val="00251FF1"/>
    <w:rsid w:val="00254723"/>
    <w:rsid w:val="00260D05"/>
    <w:rsid w:val="00264F15"/>
    <w:rsid w:val="002650A3"/>
    <w:rsid w:val="00270A3C"/>
    <w:rsid w:val="00274F27"/>
    <w:rsid w:val="00275F46"/>
    <w:rsid w:val="002840BF"/>
    <w:rsid w:val="00286BC4"/>
    <w:rsid w:val="002916DA"/>
    <w:rsid w:val="00292837"/>
    <w:rsid w:val="00292F33"/>
    <w:rsid w:val="002A2F9B"/>
    <w:rsid w:val="002A6F3F"/>
    <w:rsid w:val="002B23E5"/>
    <w:rsid w:val="002B499B"/>
    <w:rsid w:val="002B7896"/>
    <w:rsid w:val="002C56AD"/>
    <w:rsid w:val="002C640F"/>
    <w:rsid w:val="002D3008"/>
    <w:rsid w:val="002D345E"/>
    <w:rsid w:val="002D40EF"/>
    <w:rsid w:val="002D58EB"/>
    <w:rsid w:val="002E386B"/>
    <w:rsid w:val="002F0019"/>
    <w:rsid w:val="002F4169"/>
    <w:rsid w:val="0030480B"/>
    <w:rsid w:val="00304D94"/>
    <w:rsid w:val="00310F48"/>
    <w:rsid w:val="00311057"/>
    <w:rsid w:val="00312A10"/>
    <w:rsid w:val="00314A9E"/>
    <w:rsid w:val="00315AA9"/>
    <w:rsid w:val="00316E95"/>
    <w:rsid w:val="0032069A"/>
    <w:rsid w:val="00325B06"/>
    <w:rsid w:val="0032627B"/>
    <w:rsid w:val="003301AB"/>
    <w:rsid w:val="00330306"/>
    <w:rsid w:val="00334FA4"/>
    <w:rsid w:val="00335101"/>
    <w:rsid w:val="00335103"/>
    <w:rsid w:val="00335455"/>
    <w:rsid w:val="0033639B"/>
    <w:rsid w:val="00343A0D"/>
    <w:rsid w:val="0034612A"/>
    <w:rsid w:val="003504B0"/>
    <w:rsid w:val="00351117"/>
    <w:rsid w:val="00354479"/>
    <w:rsid w:val="003545CE"/>
    <w:rsid w:val="003564DB"/>
    <w:rsid w:val="0036250E"/>
    <w:rsid w:val="00363458"/>
    <w:rsid w:val="00365D12"/>
    <w:rsid w:val="00366DF7"/>
    <w:rsid w:val="003716E6"/>
    <w:rsid w:val="00372460"/>
    <w:rsid w:val="00383B53"/>
    <w:rsid w:val="003861E4"/>
    <w:rsid w:val="00387993"/>
    <w:rsid w:val="00391B9E"/>
    <w:rsid w:val="003A38E1"/>
    <w:rsid w:val="003A3DBB"/>
    <w:rsid w:val="003A6913"/>
    <w:rsid w:val="003B0209"/>
    <w:rsid w:val="003B18C4"/>
    <w:rsid w:val="003C066C"/>
    <w:rsid w:val="003C0800"/>
    <w:rsid w:val="003C26A8"/>
    <w:rsid w:val="003D0BB1"/>
    <w:rsid w:val="003D0E82"/>
    <w:rsid w:val="003D5B8B"/>
    <w:rsid w:val="003E6816"/>
    <w:rsid w:val="003E6DDD"/>
    <w:rsid w:val="003E6E59"/>
    <w:rsid w:val="003E7FAA"/>
    <w:rsid w:val="003F188B"/>
    <w:rsid w:val="004015D1"/>
    <w:rsid w:val="00404D95"/>
    <w:rsid w:val="0041352F"/>
    <w:rsid w:val="0041397E"/>
    <w:rsid w:val="00416AC4"/>
    <w:rsid w:val="004172C8"/>
    <w:rsid w:val="0041774D"/>
    <w:rsid w:val="00420279"/>
    <w:rsid w:val="0042114B"/>
    <w:rsid w:val="00426970"/>
    <w:rsid w:val="00427919"/>
    <w:rsid w:val="00431CCC"/>
    <w:rsid w:val="00437903"/>
    <w:rsid w:val="00443F32"/>
    <w:rsid w:val="0044464C"/>
    <w:rsid w:val="00445ED0"/>
    <w:rsid w:val="00446C16"/>
    <w:rsid w:val="00447EBE"/>
    <w:rsid w:val="00451775"/>
    <w:rsid w:val="00453970"/>
    <w:rsid w:val="004614E5"/>
    <w:rsid w:val="004634C2"/>
    <w:rsid w:val="0046400A"/>
    <w:rsid w:val="004647B1"/>
    <w:rsid w:val="004654F5"/>
    <w:rsid w:val="004668AE"/>
    <w:rsid w:val="0047053D"/>
    <w:rsid w:val="004709CE"/>
    <w:rsid w:val="00471D63"/>
    <w:rsid w:val="00476F3B"/>
    <w:rsid w:val="004807D4"/>
    <w:rsid w:val="00486421"/>
    <w:rsid w:val="004952C7"/>
    <w:rsid w:val="004A33B8"/>
    <w:rsid w:val="004A344E"/>
    <w:rsid w:val="004C0969"/>
    <w:rsid w:val="004C1F4F"/>
    <w:rsid w:val="004C4C2A"/>
    <w:rsid w:val="004C5D50"/>
    <w:rsid w:val="004C7B42"/>
    <w:rsid w:val="004D133A"/>
    <w:rsid w:val="004D249C"/>
    <w:rsid w:val="004D2873"/>
    <w:rsid w:val="004E1761"/>
    <w:rsid w:val="004E1C54"/>
    <w:rsid w:val="004E55D5"/>
    <w:rsid w:val="004F2179"/>
    <w:rsid w:val="004F31E4"/>
    <w:rsid w:val="004F3483"/>
    <w:rsid w:val="004F355C"/>
    <w:rsid w:val="004F37D8"/>
    <w:rsid w:val="004F4C3D"/>
    <w:rsid w:val="004F681B"/>
    <w:rsid w:val="00504116"/>
    <w:rsid w:val="005077BD"/>
    <w:rsid w:val="005125AE"/>
    <w:rsid w:val="005207A4"/>
    <w:rsid w:val="005209EE"/>
    <w:rsid w:val="00522275"/>
    <w:rsid w:val="005231B7"/>
    <w:rsid w:val="005242F3"/>
    <w:rsid w:val="00525902"/>
    <w:rsid w:val="005377AE"/>
    <w:rsid w:val="00552192"/>
    <w:rsid w:val="00552300"/>
    <w:rsid w:val="00552FF5"/>
    <w:rsid w:val="00555C41"/>
    <w:rsid w:val="00561BCA"/>
    <w:rsid w:val="00563650"/>
    <w:rsid w:val="0056447E"/>
    <w:rsid w:val="0056553D"/>
    <w:rsid w:val="005669F4"/>
    <w:rsid w:val="00572120"/>
    <w:rsid w:val="00573388"/>
    <w:rsid w:val="0058432C"/>
    <w:rsid w:val="00585655"/>
    <w:rsid w:val="00586BB4"/>
    <w:rsid w:val="00587669"/>
    <w:rsid w:val="00587684"/>
    <w:rsid w:val="00597981"/>
    <w:rsid w:val="00597E4A"/>
    <w:rsid w:val="005A0F8C"/>
    <w:rsid w:val="005A6762"/>
    <w:rsid w:val="005B391F"/>
    <w:rsid w:val="005B50C5"/>
    <w:rsid w:val="005C54B6"/>
    <w:rsid w:val="005C6853"/>
    <w:rsid w:val="005D1ADC"/>
    <w:rsid w:val="005D201C"/>
    <w:rsid w:val="005D31CD"/>
    <w:rsid w:val="005D6545"/>
    <w:rsid w:val="005E05A8"/>
    <w:rsid w:val="005E11D8"/>
    <w:rsid w:val="005E3544"/>
    <w:rsid w:val="005E3E37"/>
    <w:rsid w:val="005E3EE7"/>
    <w:rsid w:val="005F23F7"/>
    <w:rsid w:val="005F4F0C"/>
    <w:rsid w:val="0060702A"/>
    <w:rsid w:val="006079BA"/>
    <w:rsid w:val="0061042B"/>
    <w:rsid w:val="006129EE"/>
    <w:rsid w:val="00612B7C"/>
    <w:rsid w:val="00613B93"/>
    <w:rsid w:val="006200DD"/>
    <w:rsid w:val="0062612A"/>
    <w:rsid w:val="0063386F"/>
    <w:rsid w:val="00633CF9"/>
    <w:rsid w:val="00634137"/>
    <w:rsid w:val="00636803"/>
    <w:rsid w:val="00640FE2"/>
    <w:rsid w:val="006434D0"/>
    <w:rsid w:val="00646629"/>
    <w:rsid w:val="00651776"/>
    <w:rsid w:val="00656A15"/>
    <w:rsid w:val="006632FB"/>
    <w:rsid w:val="006716E7"/>
    <w:rsid w:val="00671B9C"/>
    <w:rsid w:val="00674CBD"/>
    <w:rsid w:val="0067763B"/>
    <w:rsid w:val="006872DB"/>
    <w:rsid w:val="00692853"/>
    <w:rsid w:val="00692D46"/>
    <w:rsid w:val="00694BC9"/>
    <w:rsid w:val="00696823"/>
    <w:rsid w:val="006A31B2"/>
    <w:rsid w:val="006A64D3"/>
    <w:rsid w:val="006A6CF4"/>
    <w:rsid w:val="006B5AA1"/>
    <w:rsid w:val="006B716C"/>
    <w:rsid w:val="006B7DD1"/>
    <w:rsid w:val="006C5E6E"/>
    <w:rsid w:val="006C60DC"/>
    <w:rsid w:val="006C62B0"/>
    <w:rsid w:val="006C6F97"/>
    <w:rsid w:val="006D4864"/>
    <w:rsid w:val="006D60DD"/>
    <w:rsid w:val="006E5593"/>
    <w:rsid w:val="006F092D"/>
    <w:rsid w:val="007001F1"/>
    <w:rsid w:val="007064BB"/>
    <w:rsid w:val="00707445"/>
    <w:rsid w:val="00716CCF"/>
    <w:rsid w:val="00716D15"/>
    <w:rsid w:val="00717EB7"/>
    <w:rsid w:val="007241FC"/>
    <w:rsid w:val="007269ED"/>
    <w:rsid w:val="0073305C"/>
    <w:rsid w:val="007355B4"/>
    <w:rsid w:val="0074007D"/>
    <w:rsid w:val="0074343B"/>
    <w:rsid w:val="00747BCD"/>
    <w:rsid w:val="007540FF"/>
    <w:rsid w:val="00773EBC"/>
    <w:rsid w:val="00776CEA"/>
    <w:rsid w:val="007873D8"/>
    <w:rsid w:val="00791675"/>
    <w:rsid w:val="00791EE4"/>
    <w:rsid w:val="007A1A96"/>
    <w:rsid w:val="007A44AB"/>
    <w:rsid w:val="007B0DC9"/>
    <w:rsid w:val="007B180A"/>
    <w:rsid w:val="007B2D91"/>
    <w:rsid w:val="007B2DF0"/>
    <w:rsid w:val="007B51FC"/>
    <w:rsid w:val="007B7858"/>
    <w:rsid w:val="007C4716"/>
    <w:rsid w:val="007C6524"/>
    <w:rsid w:val="007C6FEB"/>
    <w:rsid w:val="007C712E"/>
    <w:rsid w:val="007D1929"/>
    <w:rsid w:val="007F6E60"/>
    <w:rsid w:val="00800CE4"/>
    <w:rsid w:val="008042F6"/>
    <w:rsid w:val="00807C19"/>
    <w:rsid w:val="0082228A"/>
    <w:rsid w:val="008233F1"/>
    <w:rsid w:val="00824522"/>
    <w:rsid w:val="00827803"/>
    <w:rsid w:val="008347E4"/>
    <w:rsid w:val="008349F6"/>
    <w:rsid w:val="00844EA4"/>
    <w:rsid w:val="008467AD"/>
    <w:rsid w:val="00854272"/>
    <w:rsid w:val="0086091C"/>
    <w:rsid w:val="00862959"/>
    <w:rsid w:val="0086339E"/>
    <w:rsid w:val="0087181E"/>
    <w:rsid w:val="00871A16"/>
    <w:rsid w:val="00873893"/>
    <w:rsid w:val="00874B92"/>
    <w:rsid w:val="00881F0A"/>
    <w:rsid w:val="00883939"/>
    <w:rsid w:val="0089255B"/>
    <w:rsid w:val="0089291B"/>
    <w:rsid w:val="008A33EE"/>
    <w:rsid w:val="008A4F90"/>
    <w:rsid w:val="008D1142"/>
    <w:rsid w:val="008D1894"/>
    <w:rsid w:val="008D3618"/>
    <w:rsid w:val="008D529D"/>
    <w:rsid w:val="008D5BE4"/>
    <w:rsid w:val="008F0828"/>
    <w:rsid w:val="008F0ACE"/>
    <w:rsid w:val="008F22DD"/>
    <w:rsid w:val="008F28D0"/>
    <w:rsid w:val="008F3439"/>
    <w:rsid w:val="008F5A64"/>
    <w:rsid w:val="008F5E5B"/>
    <w:rsid w:val="008F68D9"/>
    <w:rsid w:val="008F6D52"/>
    <w:rsid w:val="008F7F3A"/>
    <w:rsid w:val="00902A75"/>
    <w:rsid w:val="00903515"/>
    <w:rsid w:val="00905A88"/>
    <w:rsid w:val="0091150E"/>
    <w:rsid w:val="009204FA"/>
    <w:rsid w:val="009212F9"/>
    <w:rsid w:val="00923F3C"/>
    <w:rsid w:val="00924676"/>
    <w:rsid w:val="009249C9"/>
    <w:rsid w:val="0092696A"/>
    <w:rsid w:val="00926D0B"/>
    <w:rsid w:val="0093179D"/>
    <w:rsid w:val="009325FE"/>
    <w:rsid w:val="0093516D"/>
    <w:rsid w:val="00936EAB"/>
    <w:rsid w:val="0094065A"/>
    <w:rsid w:val="0094069B"/>
    <w:rsid w:val="00942724"/>
    <w:rsid w:val="00942CC2"/>
    <w:rsid w:val="0094601E"/>
    <w:rsid w:val="0095040D"/>
    <w:rsid w:val="00950F3E"/>
    <w:rsid w:val="00951630"/>
    <w:rsid w:val="00955471"/>
    <w:rsid w:val="00957A73"/>
    <w:rsid w:val="00957E33"/>
    <w:rsid w:val="00960111"/>
    <w:rsid w:val="00960BBA"/>
    <w:rsid w:val="0096173D"/>
    <w:rsid w:val="009617D3"/>
    <w:rsid w:val="0096610D"/>
    <w:rsid w:val="00967155"/>
    <w:rsid w:val="00970DB9"/>
    <w:rsid w:val="00971D10"/>
    <w:rsid w:val="0097469D"/>
    <w:rsid w:val="00974A3A"/>
    <w:rsid w:val="00974FEB"/>
    <w:rsid w:val="00985EC1"/>
    <w:rsid w:val="00990F42"/>
    <w:rsid w:val="009A66EE"/>
    <w:rsid w:val="009D238E"/>
    <w:rsid w:val="009D2B44"/>
    <w:rsid w:val="009D3A6F"/>
    <w:rsid w:val="009D5D06"/>
    <w:rsid w:val="009E3567"/>
    <w:rsid w:val="009E4204"/>
    <w:rsid w:val="009E4CA0"/>
    <w:rsid w:val="009E63C8"/>
    <w:rsid w:val="009E771B"/>
    <w:rsid w:val="009E7DD1"/>
    <w:rsid w:val="009F4AF9"/>
    <w:rsid w:val="009F6B45"/>
    <w:rsid w:val="00A13361"/>
    <w:rsid w:val="00A166A8"/>
    <w:rsid w:val="00A21791"/>
    <w:rsid w:val="00A22EFE"/>
    <w:rsid w:val="00A2776D"/>
    <w:rsid w:val="00A301C8"/>
    <w:rsid w:val="00A3036B"/>
    <w:rsid w:val="00A30B2C"/>
    <w:rsid w:val="00A328BF"/>
    <w:rsid w:val="00A332BA"/>
    <w:rsid w:val="00A35429"/>
    <w:rsid w:val="00A44308"/>
    <w:rsid w:val="00A46197"/>
    <w:rsid w:val="00A520CF"/>
    <w:rsid w:val="00A52877"/>
    <w:rsid w:val="00A559BD"/>
    <w:rsid w:val="00A716E9"/>
    <w:rsid w:val="00A72037"/>
    <w:rsid w:val="00A729A1"/>
    <w:rsid w:val="00A80C95"/>
    <w:rsid w:val="00A821EA"/>
    <w:rsid w:val="00A82F3B"/>
    <w:rsid w:val="00A85E33"/>
    <w:rsid w:val="00A912EE"/>
    <w:rsid w:val="00A94046"/>
    <w:rsid w:val="00A96A9B"/>
    <w:rsid w:val="00AA080D"/>
    <w:rsid w:val="00AA2612"/>
    <w:rsid w:val="00AA3E2D"/>
    <w:rsid w:val="00AA5A93"/>
    <w:rsid w:val="00AA7A30"/>
    <w:rsid w:val="00AA7B82"/>
    <w:rsid w:val="00AB1A95"/>
    <w:rsid w:val="00AB36DA"/>
    <w:rsid w:val="00AB43C3"/>
    <w:rsid w:val="00AC0ED0"/>
    <w:rsid w:val="00AC3790"/>
    <w:rsid w:val="00AD511B"/>
    <w:rsid w:val="00AE0955"/>
    <w:rsid w:val="00AE3D2F"/>
    <w:rsid w:val="00AE4D35"/>
    <w:rsid w:val="00AE6F8B"/>
    <w:rsid w:val="00AE7EFD"/>
    <w:rsid w:val="00B007DB"/>
    <w:rsid w:val="00B0496A"/>
    <w:rsid w:val="00B05EAF"/>
    <w:rsid w:val="00B10258"/>
    <w:rsid w:val="00B12A02"/>
    <w:rsid w:val="00B150A6"/>
    <w:rsid w:val="00B20D5C"/>
    <w:rsid w:val="00B22DAB"/>
    <w:rsid w:val="00B22E72"/>
    <w:rsid w:val="00B25D71"/>
    <w:rsid w:val="00B26244"/>
    <w:rsid w:val="00B26D18"/>
    <w:rsid w:val="00B30885"/>
    <w:rsid w:val="00B34D1C"/>
    <w:rsid w:val="00B45D20"/>
    <w:rsid w:val="00B463AE"/>
    <w:rsid w:val="00B5215F"/>
    <w:rsid w:val="00B552C1"/>
    <w:rsid w:val="00B55307"/>
    <w:rsid w:val="00B55858"/>
    <w:rsid w:val="00B56CC7"/>
    <w:rsid w:val="00B574D0"/>
    <w:rsid w:val="00B60D53"/>
    <w:rsid w:val="00B63A88"/>
    <w:rsid w:val="00B704BA"/>
    <w:rsid w:val="00B70646"/>
    <w:rsid w:val="00B72728"/>
    <w:rsid w:val="00B84F72"/>
    <w:rsid w:val="00B90106"/>
    <w:rsid w:val="00B96CF6"/>
    <w:rsid w:val="00BA298B"/>
    <w:rsid w:val="00BA31D1"/>
    <w:rsid w:val="00BA3734"/>
    <w:rsid w:val="00BB23CB"/>
    <w:rsid w:val="00BB3D72"/>
    <w:rsid w:val="00BB4943"/>
    <w:rsid w:val="00BC2E87"/>
    <w:rsid w:val="00BC36FC"/>
    <w:rsid w:val="00BD0993"/>
    <w:rsid w:val="00BD2E8C"/>
    <w:rsid w:val="00BD4F31"/>
    <w:rsid w:val="00BD5AE4"/>
    <w:rsid w:val="00BE142C"/>
    <w:rsid w:val="00BE1747"/>
    <w:rsid w:val="00BE63B1"/>
    <w:rsid w:val="00BE6B05"/>
    <w:rsid w:val="00BE7203"/>
    <w:rsid w:val="00BF0614"/>
    <w:rsid w:val="00BF0F30"/>
    <w:rsid w:val="00BF1571"/>
    <w:rsid w:val="00BF1940"/>
    <w:rsid w:val="00BF4DA4"/>
    <w:rsid w:val="00BF4F2A"/>
    <w:rsid w:val="00BF7480"/>
    <w:rsid w:val="00BF7DDC"/>
    <w:rsid w:val="00C004A3"/>
    <w:rsid w:val="00C009F9"/>
    <w:rsid w:val="00C034B4"/>
    <w:rsid w:val="00C035A4"/>
    <w:rsid w:val="00C05A2E"/>
    <w:rsid w:val="00C06B61"/>
    <w:rsid w:val="00C077AE"/>
    <w:rsid w:val="00C135CE"/>
    <w:rsid w:val="00C17F4D"/>
    <w:rsid w:val="00C26714"/>
    <w:rsid w:val="00C30A9C"/>
    <w:rsid w:val="00C31660"/>
    <w:rsid w:val="00C31911"/>
    <w:rsid w:val="00C31960"/>
    <w:rsid w:val="00C34C44"/>
    <w:rsid w:val="00C37900"/>
    <w:rsid w:val="00C4069D"/>
    <w:rsid w:val="00C41CBB"/>
    <w:rsid w:val="00C42CF3"/>
    <w:rsid w:val="00C43139"/>
    <w:rsid w:val="00C43247"/>
    <w:rsid w:val="00C43D29"/>
    <w:rsid w:val="00C52DA9"/>
    <w:rsid w:val="00C52F9C"/>
    <w:rsid w:val="00C55626"/>
    <w:rsid w:val="00C56321"/>
    <w:rsid w:val="00C60356"/>
    <w:rsid w:val="00C6101E"/>
    <w:rsid w:val="00C6159F"/>
    <w:rsid w:val="00C61FB9"/>
    <w:rsid w:val="00C70E66"/>
    <w:rsid w:val="00C71C37"/>
    <w:rsid w:val="00C73FEF"/>
    <w:rsid w:val="00C74BF2"/>
    <w:rsid w:val="00C76EF4"/>
    <w:rsid w:val="00C82710"/>
    <w:rsid w:val="00C86D64"/>
    <w:rsid w:val="00C91EFB"/>
    <w:rsid w:val="00CA2C8A"/>
    <w:rsid w:val="00CA3748"/>
    <w:rsid w:val="00CB07C5"/>
    <w:rsid w:val="00CB53BE"/>
    <w:rsid w:val="00CB58CF"/>
    <w:rsid w:val="00CB6DD4"/>
    <w:rsid w:val="00CC138F"/>
    <w:rsid w:val="00CC5B6A"/>
    <w:rsid w:val="00CD0AEE"/>
    <w:rsid w:val="00CD0E8E"/>
    <w:rsid w:val="00CD357A"/>
    <w:rsid w:val="00CD5C1A"/>
    <w:rsid w:val="00CD787B"/>
    <w:rsid w:val="00CE65CA"/>
    <w:rsid w:val="00CE71A7"/>
    <w:rsid w:val="00CE743E"/>
    <w:rsid w:val="00CE7B8A"/>
    <w:rsid w:val="00CF293D"/>
    <w:rsid w:val="00D001DD"/>
    <w:rsid w:val="00D1263B"/>
    <w:rsid w:val="00D22504"/>
    <w:rsid w:val="00D22FA1"/>
    <w:rsid w:val="00D25ABF"/>
    <w:rsid w:val="00D31D18"/>
    <w:rsid w:val="00D35C16"/>
    <w:rsid w:val="00D3687D"/>
    <w:rsid w:val="00D36E73"/>
    <w:rsid w:val="00D40F80"/>
    <w:rsid w:val="00D41538"/>
    <w:rsid w:val="00D530B6"/>
    <w:rsid w:val="00D610BA"/>
    <w:rsid w:val="00D640A7"/>
    <w:rsid w:val="00D6433F"/>
    <w:rsid w:val="00D656A3"/>
    <w:rsid w:val="00D66666"/>
    <w:rsid w:val="00D67A35"/>
    <w:rsid w:val="00D71391"/>
    <w:rsid w:val="00D72DB9"/>
    <w:rsid w:val="00D74ADC"/>
    <w:rsid w:val="00D75AE4"/>
    <w:rsid w:val="00D765A2"/>
    <w:rsid w:val="00D7707A"/>
    <w:rsid w:val="00D77081"/>
    <w:rsid w:val="00D772EB"/>
    <w:rsid w:val="00D77852"/>
    <w:rsid w:val="00D778C1"/>
    <w:rsid w:val="00D83488"/>
    <w:rsid w:val="00D84787"/>
    <w:rsid w:val="00D87E81"/>
    <w:rsid w:val="00D91AFB"/>
    <w:rsid w:val="00D97D86"/>
    <w:rsid w:val="00DA2F5B"/>
    <w:rsid w:val="00DA50B6"/>
    <w:rsid w:val="00DA721D"/>
    <w:rsid w:val="00DB0A17"/>
    <w:rsid w:val="00DB1983"/>
    <w:rsid w:val="00DB39B0"/>
    <w:rsid w:val="00DB56C0"/>
    <w:rsid w:val="00DC11CA"/>
    <w:rsid w:val="00DC198F"/>
    <w:rsid w:val="00DC1AAE"/>
    <w:rsid w:val="00DC1FF6"/>
    <w:rsid w:val="00DC386E"/>
    <w:rsid w:val="00DD44ED"/>
    <w:rsid w:val="00DE270C"/>
    <w:rsid w:val="00DE2C0C"/>
    <w:rsid w:val="00DE4913"/>
    <w:rsid w:val="00DE49B9"/>
    <w:rsid w:val="00DE57CD"/>
    <w:rsid w:val="00DE7AF0"/>
    <w:rsid w:val="00DF7D89"/>
    <w:rsid w:val="00E011EC"/>
    <w:rsid w:val="00E01669"/>
    <w:rsid w:val="00E0392E"/>
    <w:rsid w:val="00E0474A"/>
    <w:rsid w:val="00E118F8"/>
    <w:rsid w:val="00E1389C"/>
    <w:rsid w:val="00E17028"/>
    <w:rsid w:val="00E23535"/>
    <w:rsid w:val="00E2600A"/>
    <w:rsid w:val="00E2760F"/>
    <w:rsid w:val="00E319B6"/>
    <w:rsid w:val="00E31D6C"/>
    <w:rsid w:val="00E34997"/>
    <w:rsid w:val="00E35F00"/>
    <w:rsid w:val="00E42765"/>
    <w:rsid w:val="00E4407C"/>
    <w:rsid w:val="00E5244F"/>
    <w:rsid w:val="00E64535"/>
    <w:rsid w:val="00E66E94"/>
    <w:rsid w:val="00E71BBF"/>
    <w:rsid w:val="00E72D54"/>
    <w:rsid w:val="00E73721"/>
    <w:rsid w:val="00E75708"/>
    <w:rsid w:val="00E76FBB"/>
    <w:rsid w:val="00E86ABD"/>
    <w:rsid w:val="00EA23FB"/>
    <w:rsid w:val="00EA3585"/>
    <w:rsid w:val="00EA4F25"/>
    <w:rsid w:val="00EA77FB"/>
    <w:rsid w:val="00EB0558"/>
    <w:rsid w:val="00EB2C33"/>
    <w:rsid w:val="00EC1E61"/>
    <w:rsid w:val="00EC24AC"/>
    <w:rsid w:val="00EC7758"/>
    <w:rsid w:val="00ED02D9"/>
    <w:rsid w:val="00ED11DB"/>
    <w:rsid w:val="00ED322F"/>
    <w:rsid w:val="00EE11FA"/>
    <w:rsid w:val="00EE38A4"/>
    <w:rsid w:val="00EE45B0"/>
    <w:rsid w:val="00EE540C"/>
    <w:rsid w:val="00EE6918"/>
    <w:rsid w:val="00EE6DA7"/>
    <w:rsid w:val="00EF2191"/>
    <w:rsid w:val="00EF419F"/>
    <w:rsid w:val="00F02A24"/>
    <w:rsid w:val="00F06542"/>
    <w:rsid w:val="00F07191"/>
    <w:rsid w:val="00F10EFD"/>
    <w:rsid w:val="00F1234B"/>
    <w:rsid w:val="00F1378C"/>
    <w:rsid w:val="00F2033F"/>
    <w:rsid w:val="00F2059C"/>
    <w:rsid w:val="00F22F84"/>
    <w:rsid w:val="00F277B7"/>
    <w:rsid w:val="00F30CEC"/>
    <w:rsid w:val="00F33609"/>
    <w:rsid w:val="00F362F4"/>
    <w:rsid w:val="00F366B2"/>
    <w:rsid w:val="00F407B4"/>
    <w:rsid w:val="00F41206"/>
    <w:rsid w:val="00F4378A"/>
    <w:rsid w:val="00F455A0"/>
    <w:rsid w:val="00F50E7A"/>
    <w:rsid w:val="00F515C7"/>
    <w:rsid w:val="00F54AB6"/>
    <w:rsid w:val="00F5632B"/>
    <w:rsid w:val="00F57F56"/>
    <w:rsid w:val="00F678A9"/>
    <w:rsid w:val="00F70CEC"/>
    <w:rsid w:val="00F82086"/>
    <w:rsid w:val="00F91DB7"/>
    <w:rsid w:val="00F92BFF"/>
    <w:rsid w:val="00FA0228"/>
    <w:rsid w:val="00FA233E"/>
    <w:rsid w:val="00FA4A92"/>
    <w:rsid w:val="00FA766B"/>
    <w:rsid w:val="00FB39FD"/>
    <w:rsid w:val="00FB75FF"/>
    <w:rsid w:val="00FC7F7F"/>
    <w:rsid w:val="00FD0125"/>
    <w:rsid w:val="00FD1B9B"/>
    <w:rsid w:val="00FD25DA"/>
    <w:rsid w:val="00FE29A7"/>
    <w:rsid w:val="00FE3038"/>
    <w:rsid w:val="00FF08A8"/>
    <w:rsid w:val="00FF1F0F"/>
    <w:rsid w:val="00FF26C5"/>
    <w:rsid w:val="00FF723A"/>
    <w:rsid w:val="01BF6730"/>
    <w:rsid w:val="02123AD6"/>
    <w:rsid w:val="02431A7D"/>
    <w:rsid w:val="024636D4"/>
    <w:rsid w:val="028B5457"/>
    <w:rsid w:val="02A75CF9"/>
    <w:rsid w:val="02C80459"/>
    <w:rsid w:val="032A7313"/>
    <w:rsid w:val="0380434E"/>
    <w:rsid w:val="03832A08"/>
    <w:rsid w:val="03B17691"/>
    <w:rsid w:val="03BB09EB"/>
    <w:rsid w:val="03BE5D3A"/>
    <w:rsid w:val="03C60B66"/>
    <w:rsid w:val="03D3645E"/>
    <w:rsid w:val="03F842E2"/>
    <w:rsid w:val="041D362B"/>
    <w:rsid w:val="047400C6"/>
    <w:rsid w:val="05060F28"/>
    <w:rsid w:val="05096B07"/>
    <w:rsid w:val="053A514B"/>
    <w:rsid w:val="053B7608"/>
    <w:rsid w:val="05A263D4"/>
    <w:rsid w:val="05E568AC"/>
    <w:rsid w:val="06497727"/>
    <w:rsid w:val="06657CAB"/>
    <w:rsid w:val="068621B7"/>
    <w:rsid w:val="06F34CAC"/>
    <w:rsid w:val="0795497D"/>
    <w:rsid w:val="07AD2313"/>
    <w:rsid w:val="07C4574A"/>
    <w:rsid w:val="07D4164E"/>
    <w:rsid w:val="083F4047"/>
    <w:rsid w:val="087D3C9D"/>
    <w:rsid w:val="089D4B60"/>
    <w:rsid w:val="08BF2A47"/>
    <w:rsid w:val="097D2390"/>
    <w:rsid w:val="09B74D83"/>
    <w:rsid w:val="09C54A15"/>
    <w:rsid w:val="0A5F0236"/>
    <w:rsid w:val="0A6F00E2"/>
    <w:rsid w:val="0A731B76"/>
    <w:rsid w:val="0A8F3F52"/>
    <w:rsid w:val="0AA64BCB"/>
    <w:rsid w:val="0ABE08B4"/>
    <w:rsid w:val="0AE61DC4"/>
    <w:rsid w:val="0B4A526A"/>
    <w:rsid w:val="0BA010B5"/>
    <w:rsid w:val="0BA93AA3"/>
    <w:rsid w:val="0BBC2635"/>
    <w:rsid w:val="0BBE689D"/>
    <w:rsid w:val="0C175FAD"/>
    <w:rsid w:val="0C17625F"/>
    <w:rsid w:val="0C566B3E"/>
    <w:rsid w:val="0CBD260A"/>
    <w:rsid w:val="0D541C42"/>
    <w:rsid w:val="0D8E04F1"/>
    <w:rsid w:val="0DC94207"/>
    <w:rsid w:val="0E0535F5"/>
    <w:rsid w:val="0E437964"/>
    <w:rsid w:val="0E4C6257"/>
    <w:rsid w:val="0E963B01"/>
    <w:rsid w:val="0ED94B43"/>
    <w:rsid w:val="0F414D68"/>
    <w:rsid w:val="0F447E11"/>
    <w:rsid w:val="0F4E64F0"/>
    <w:rsid w:val="0F5D37DE"/>
    <w:rsid w:val="10442408"/>
    <w:rsid w:val="10710382"/>
    <w:rsid w:val="107A3EA9"/>
    <w:rsid w:val="108F3F0F"/>
    <w:rsid w:val="1097590F"/>
    <w:rsid w:val="10CE41C2"/>
    <w:rsid w:val="1125147F"/>
    <w:rsid w:val="1129635C"/>
    <w:rsid w:val="112B6D22"/>
    <w:rsid w:val="1188442E"/>
    <w:rsid w:val="122709C8"/>
    <w:rsid w:val="12811990"/>
    <w:rsid w:val="12A14823"/>
    <w:rsid w:val="12C53A89"/>
    <w:rsid w:val="12E666D9"/>
    <w:rsid w:val="13030AD0"/>
    <w:rsid w:val="13A50343"/>
    <w:rsid w:val="13AE5449"/>
    <w:rsid w:val="13B86C23"/>
    <w:rsid w:val="13D90051"/>
    <w:rsid w:val="14131E94"/>
    <w:rsid w:val="144B713C"/>
    <w:rsid w:val="14904384"/>
    <w:rsid w:val="14A9209E"/>
    <w:rsid w:val="14C56255"/>
    <w:rsid w:val="156347D8"/>
    <w:rsid w:val="157265ED"/>
    <w:rsid w:val="15B94248"/>
    <w:rsid w:val="161A46DC"/>
    <w:rsid w:val="16404C60"/>
    <w:rsid w:val="164125A5"/>
    <w:rsid w:val="166C55C5"/>
    <w:rsid w:val="16935C60"/>
    <w:rsid w:val="16A879C0"/>
    <w:rsid w:val="16CB2C00"/>
    <w:rsid w:val="170F161A"/>
    <w:rsid w:val="17D54719"/>
    <w:rsid w:val="17E859EA"/>
    <w:rsid w:val="185527C3"/>
    <w:rsid w:val="1865462D"/>
    <w:rsid w:val="187F0613"/>
    <w:rsid w:val="18820C52"/>
    <w:rsid w:val="18BB48F6"/>
    <w:rsid w:val="18D83724"/>
    <w:rsid w:val="18DF46D7"/>
    <w:rsid w:val="18DF60A5"/>
    <w:rsid w:val="190E59AB"/>
    <w:rsid w:val="199A77CA"/>
    <w:rsid w:val="19BC44F3"/>
    <w:rsid w:val="19C5647F"/>
    <w:rsid w:val="1A0D01EE"/>
    <w:rsid w:val="1A1D74FC"/>
    <w:rsid w:val="1A375B0A"/>
    <w:rsid w:val="1A4408B5"/>
    <w:rsid w:val="1A8579EE"/>
    <w:rsid w:val="1ACD723D"/>
    <w:rsid w:val="1AEA2550"/>
    <w:rsid w:val="1BA90DF4"/>
    <w:rsid w:val="1BB76E65"/>
    <w:rsid w:val="1BCD0437"/>
    <w:rsid w:val="1C014A15"/>
    <w:rsid w:val="1C697720"/>
    <w:rsid w:val="1C9C03FD"/>
    <w:rsid w:val="1CAA546D"/>
    <w:rsid w:val="1CCF3068"/>
    <w:rsid w:val="1CEC53DC"/>
    <w:rsid w:val="1D0E6F59"/>
    <w:rsid w:val="1D552DD9"/>
    <w:rsid w:val="1D7E5E8C"/>
    <w:rsid w:val="1D9B3C57"/>
    <w:rsid w:val="1D9B6720"/>
    <w:rsid w:val="1DCD2FAD"/>
    <w:rsid w:val="1DD957B9"/>
    <w:rsid w:val="1E1D28C5"/>
    <w:rsid w:val="1EB853CE"/>
    <w:rsid w:val="1EFD1033"/>
    <w:rsid w:val="1F271A4D"/>
    <w:rsid w:val="1F63739D"/>
    <w:rsid w:val="1FD004F5"/>
    <w:rsid w:val="1FEF4E1F"/>
    <w:rsid w:val="201725C8"/>
    <w:rsid w:val="20347594"/>
    <w:rsid w:val="20432BA3"/>
    <w:rsid w:val="20D10916"/>
    <w:rsid w:val="21940529"/>
    <w:rsid w:val="21A8797C"/>
    <w:rsid w:val="21BA346A"/>
    <w:rsid w:val="21D36124"/>
    <w:rsid w:val="21F030D1"/>
    <w:rsid w:val="22360547"/>
    <w:rsid w:val="22657663"/>
    <w:rsid w:val="22900C5B"/>
    <w:rsid w:val="22A01AE8"/>
    <w:rsid w:val="22BD5CA4"/>
    <w:rsid w:val="22C46731"/>
    <w:rsid w:val="22F551A2"/>
    <w:rsid w:val="22F63B66"/>
    <w:rsid w:val="22FC6550"/>
    <w:rsid w:val="231C01D1"/>
    <w:rsid w:val="233D4DA9"/>
    <w:rsid w:val="238443FE"/>
    <w:rsid w:val="23A726AF"/>
    <w:rsid w:val="23E66539"/>
    <w:rsid w:val="24323C3C"/>
    <w:rsid w:val="24661428"/>
    <w:rsid w:val="2480073C"/>
    <w:rsid w:val="24A15491"/>
    <w:rsid w:val="24DC1FA2"/>
    <w:rsid w:val="25290DD3"/>
    <w:rsid w:val="2538390E"/>
    <w:rsid w:val="26912BBE"/>
    <w:rsid w:val="271D4C6D"/>
    <w:rsid w:val="27601A2C"/>
    <w:rsid w:val="27764D2D"/>
    <w:rsid w:val="27930786"/>
    <w:rsid w:val="27B15219"/>
    <w:rsid w:val="27B2767A"/>
    <w:rsid w:val="27F5609D"/>
    <w:rsid w:val="281207F5"/>
    <w:rsid w:val="296A5176"/>
    <w:rsid w:val="29CE5107"/>
    <w:rsid w:val="29D27E76"/>
    <w:rsid w:val="2A1A2880"/>
    <w:rsid w:val="2A202079"/>
    <w:rsid w:val="2A5709DD"/>
    <w:rsid w:val="2AC17609"/>
    <w:rsid w:val="2AED3CD8"/>
    <w:rsid w:val="2B644051"/>
    <w:rsid w:val="2BA54637"/>
    <w:rsid w:val="2BD001FB"/>
    <w:rsid w:val="2BE05F64"/>
    <w:rsid w:val="2C375068"/>
    <w:rsid w:val="2C840380"/>
    <w:rsid w:val="2C862667"/>
    <w:rsid w:val="2CFF5BF9"/>
    <w:rsid w:val="2D1E2F21"/>
    <w:rsid w:val="2D227891"/>
    <w:rsid w:val="2D2E3A18"/>
    <w:rsid w:val="2D3543F5"/>
    <w:rsid w:val="2D9C277F"/>
    <w:rsid w:val="2DFF6B75"/>
    <w:rsid w:val="2E4A44E1"/>
    <w:rsid w:val="2E505623"/>
    <w:rsid w:val="2E9C3D58"/>
    <w:rsid w:val="2EAE3B92"/>
    <w:rsid w:val="2F0B32CB"/>
    <w:rsid w:val="2F566C69"/>
    <w:rsid w:val="2FD35FE0"/>
    <w:rsid w:val="3022643B"/>
    <w:rsid w:val="304F76C5"/>
    <w:rsid w:val="306F2500"/>
    <w:rsid w:val="307F7CD3"/>
    <w:rsid w:val="30901D07"/>
    <w:rsid w:val="309915E1"/>
    <w:rsid w:val="311F283C"/>
    <w:rsid w:val="31E81F78"/>
    <w:rsid w:val="31F273BA"/>
    <w:rsid w:val="320D1173"/>
    <w:rsid w:val="323679C5"/>
    <w:rsid w:val="32D61927"/>
    <w:rsid w:val="330B32C9"/>
    <w:rsid w:val="337D73C7"/>
    <w:rsid w:val="33BD403F"/>
    <w:rsid w:val="33D4745C"/>
    <w:rsid w:val="342A06C4"/>
    <w:rsid w:val="34E2510D"/>
    <w:rsid w:val="34FC5D1A"/>
    <w:rsid w:val="354D168B"/>
    <w:rsid w:val="356579C5"/>
    <w:rsid w:val="35844D64"/>
    <w:rsid w:val="35B14E4E"/>
    <w:rsid w:val="35D00D13"/>
    <w:rsid w:val="35D816B9"/>
    <w:rsid w:val="36552126"/>
    <w:rsid w:val="368F5199"/>
    <w:rsid w:val="3699454E"/>
    <w:rsid w:val="36B77D65"/>
    <w:rsid w:val="374266BE"/>
    <w:rsid w:val="375A4BA5"/>
    <w:rsid w:val="37B165D2"/>
    <w:rsid w:val="38270559"/>
    <w:rsid w:val="383B4C4E"/>
    <w:rsid w:val="387263A8"/>
    <w:rsid w:val="38F82E30"/>
    <w:rsid w:val="39401044"/>
    <w:rsid w:val="39464EC6"/>
    <w:rsid w:val="39680CF0"/>
    <w:rsid w:val="39AC7EF3"/>
    <w:rsid w:val="3A0C5A97"/>
    <w:rsid w:val="3A3E0663"/>
    <w:rsid w:val="3AFA2E82"/>
    <w:rsid w:val="3B4E4304"/>
    <w:rsid w:val="3B7B7CB3"/>
    <w:rsid w:val="3BEF76A2"/>
    <w:rsid w:val="3C1A31C4"/>
    <w:rsid w:val="3C4827A3"/>
    <w:rsid w:val="3CBF505A"/>
    <w:rsid w:val="3CDE3DFA"/>
    <w:rsid w:val="3CFD4C82"/>
    <w:rsid w:val="3D670774"/>
    <w:rsid w:val="3D7820D7"/>
    <w:rsid w:val="3D895565"/>
    <w:rsid w:val="3DE360A4"/>
    <w:rsid w:val="3DF6156D"/>
    <w:rsid w:val="3E3C6B9A"/>
    <w:rsid w:val="3E8C5742"/>
    <w:rsid w:val="3EBA50EC"/>
    <w:rsid w:val="3EC24051"/>
    <w:rsid w:val="3F566814"/>
    <w:rsid w:val="3F624AC3"/>
    <w:rsid w:val="3F8F2819"/>
    <w:rsid w:val="3F9B273C"/>
    <w:rsid w:val="3F9B565A"/>
    <w:rsid w:val="3FB05DD8"/>
    <w:rsid w:val="3FD17791"/>
    <w:rsid w:val="404B6E8B"/>
    <w:rsid w:val="408667A7"/>
    <w:rsid w:val="40CF697E"/>
    <w:rsid w:val="41123129"/>
    <w:rsid w:val="41594CA8"/>
    <w:rsid w:val="41664509"/>
    <w:rsid w:val="41815748"/>
    <w:rsid w:val="41A41AB6"/>
    <w:rsid w:val="42193413"/>
    <w:rsid w:val="423D3DD4"/>
    <w:rsid w:val="42514CC7"/>
    <w:rsid w:val="42EE1C67"/>
    <w:rsid w:val="42FD67B1"/>
    <w:rsid w:val="43082A83"/>
    <w:rsid w:val="434F77FF"/>
    <w:rsid w:val="437A27BF"/>
    <w:rsid w:val="43CC0E50"/>
    <w:rsid w:val="440403EA"/>
    <w:rsid w:val="4404683C"/>
    <w:rsid w:val="445E7E48"/>
    <w:rsid w:val="447C2876"/>
    <w:rsid w:val="44EF3D1E"/>
    <w:rsid w:val="45156827"/>
    <w:rsid w:val="456C5AAB"/>
    <w:rsid w:val="456D41B9"/>
    <w:rsid w:val="4588061E"/>
    <w:rsid w:val="458B6335"/>
    <w:rsid w:val="459250C4"/>
    <w:rsid w:val="45F25F2A"/>
    <w:rsid w:val="45FE1CA7"/>
    <w:rsid w:val="464078D3"/>
    <w:rsid w:val="468052EC"/>
    <w:rsid w:val="46BB75DF"/>
    <w:rsid w:val="46BC3F7B"/>
    <w:rsid w:val="46DA6011"/>
    <w:rsid w:val="47033812"/>
    <w:rsid w:val="472B4CB7"/>
    <w:rsid w:val="477D0C08"/>
    <w:rsid w:val="486C5F17"/>
    <w:rsid w:val="48767C88"/>
    <w:rsid w:val="487D02F7"/>
    <w:rsid w:val="48832410"/>
    <w:rsid w:val="489A04F4"/>
    <w:rsid w:val="489B6B8C"/>
    <w:rsid w:val="489F766D"/>
    <w:rsid w:val="48EE6F6A"/>
    <w:rsid w:val="48F408B2"/>
    <w:rsid w:val="4903273F"/>
    <w:rsid w:val="491F6C60"/>
    <w:rsid w:val="49215A77"/>
    <w:rsid w:val="499E628F"/>
    <w:rsid w:val="4A1214FC"/>
    <w:rsid w:val="4A2A2595"/>
    <w:rsid w:val="4A57313D"/>
    <w:rsid w:val="4AA31FD4"/>
    <w:rsid w:val="4ABB0832"/>
    <w:rsid w:val="4AF179D1"/>
    <w:rsid w:val="4B210CAF"/>
    <w:rsid w:val="4B68727B"/>
    <w:rsid w:val="4B964438"/>
    <w:rsid w:val="4BBF56F2"/>
    <w:rsid w:val="4BC314E0"/>
    <w:rsid w:val="4C684DA8"/>
    <w:rsid w:val="4CE61658"/>
    <w:rsid w:val="4DA04239"/>
    <w:rsid w:val="4E17376D"/>
    <w:rsid w:val="4E583A53"/>
    <w:rsid w:val="4E617532"/>
    <w:rsid w:val="4EBE304F"/>
    <w:rsid w:val="4EDF4B2F"/>
    <w:rsid w:val="4F36328E"/>
    <w:rsid w:val="4F4D2F87"/>
    <w:rsid w:val="4F540802"/>
    <w:rsid w:val="4FC32472"/>
    <w:rsid w:val="4FCF4407"/>
    <w:rsid w:val="501F64DD"/>
    <w:rsid w:val="505216FF"/>
    <w:rsid w:val="508A49AE"/>
    <w:rsid w:val="51633377"/>
    <w:rsid w:val="5170086A"/>
    <w:rsid w:val="51C27291"/>
    <w:rsid w:val="523E643C"/>
    <w:rsid w:val="528905B7"/>
    <w:rsid w:val="52913978"/>
    <w:rsid w:val="533313F7"/>
    <w:rsid w:val="537F451C"/>
    <w:rsid w:val="53C9075E"/>
    <w:rsid w:val="544571FC"/>
    <w:rsid w:val="54F15B76"/>
    <w:rsid w:val="54FA4C71"/>
    <w:rsid w:val="54FC424B"/>
    <w:rsid w:val="552D63F6"/>
    <w:rsid w:val="555E799E"/>
    <w:rsid w:val="55DF782F"/>
    <w:rsid w:val="56170AED"/>
    <w:rsid w:val="56685F4A"/>
    <w:rsid w:val="568B4B9B"/>
    <w:rsid w:val="56A21D16"/>
    <w:rsid w:val="56FF2E93"/>
    <w:rsid w:val="57733D47"/>
    <w:rsid w:val="5836637E"/>
    <w:rsid w:val="589046EA"/>
    <w:rsid w:val="58CD1075"/>
    <w:rsid w:val="58E60627"/>
    <w:rsid w:val="58E80A23"/>
    <w:rsid w:val="59263585"/>
    <w:rsid w:val="594268F6"/>
    <w:rsid w:val="596B529F"/>
    <w:rsid w:val="59CD5810"/>
    <w:rsid w:val="59DB7BE7"/>
    <w:rsid w:val="59F82BC3"/>
    <w:rsid w:val="5A3211AE"/>
    <w:rsid w:val="5A405C9C"/>
    <w:rsid w:val="5A7C457D"/>
    <w:rsid w:val="5A802DFF"/>
    <w:rsid w:val="5AAB0C22"/>
    <w:rsid w:val="5ABF4E13"/>
    <w:rsid w:val="5AD13A82"/>
    <w:rsid w:val="5ADF3F7B"/>
    <w:rsid w:val="5AF62B85"/>
    <w:rsid w:val="5B030F22"/>
    <w:rsid w:val="5B75533C"/>
    <w:rsid w:val="5BB41A6A"/>
    <w:rsid w:val="5BC477BE"/>
    <w:rsid w:val="5BCB0D02"/>
    <w:rsid w:val="5BDF283A"/>
    <w:rsid w:val="5BE016BE"/>
    <w:rsid w:val="5BE74A3F"/>
    <w:rsid w:val="5C53579B"/>
    <w:rsid w:val="5C82434A"/>
    <w:rsid w:val="5CAE25A3"/>
    <w:rsid w:val="5DBB5D65"/>
    <w:rsid w:val="5DDD7D4F"/>
    <w:rsid w:val="5E0B5EBF"/>
    <w:rsid w:val="5E5149F4"/>
    <w:rsid w:val="5E8F18FE"/>
    <w:rsid w:val="5EB5689D"/>
    <w:rsid w:val="5EE4309A"/>
    <w:rsid w:val="5F357D99"/>
    <w:rsid w:val="5F421E70"/>
    <w:rsid w:val="5F8D06B3"/>
    <w:rsid w:val="5F9767C2"/>
    <w:rsid w:val="5F9E220D"/>
    <w:rsid w:val="5FE601D0"/>
    <w:rsid w:val="605D3104"/>
    <w:rsid w:val="60AE79BA"/>
    <w:rsid w:val="61B3144F"/>
    <w:rsid w:val="61ED1D9D"/>
    <w:rsid w:val="621906A1"/>
    <w:rsid w:val="62223DE6"/>
    <w:rsid w:val="625F2EF1"/>
    <w:rsid w:val="62715700"/>
    <w:rsid w:val="62D7276E"/>
    <w:rsid w:val="634202AD"/>
    <w:rsid w:val="638C5AAE"/>
    <w:rsid w:val="63D23CF5"/>
    <w:rsid w:val="63F43D7F"/>
    <w:rsid w:val="640041D3"/>
    <w:rsid w:val="641969E9"/>
    <w:rsid w:val="64592443"/>
    <w:rsid w:val="64836EB1"/>
    <w:rsid w:val="64BC3253"/>
    <w:rsid w:val="64FD4EB5"/>
    <w:rsid w:val="658E3D60"/>
    <w:rsid w:val="65BD383A"/>
    <w:rsid w:val="65BE4BDE"/>
    <w:rsid w:val="65ED4564"/>
    <w:rsid w:val="65FF07B9"/>
    <w:rsid w:val="66277389"/>
    <w:rsid w:val="663A4273"/>
    <w:rsid w:val="66477750"/>
    <w:rsid w:val="66AD470D"/>
    <w:rsid w:val="66EB7D79"/>
    <w:rsid w:val="66FC6213"/>
    <w:rsid w:val="671C21CB"/>
    <w:rsid w:val="674A63AC"/>
    <w:rsid w:val="676E38BA"/>
    <w:rsid w:val="67821B22"/>
    <w:rsid w:val="678E2E09"/>
    <w:rsid w:val="67B06C49"/>
    <w:rsid w:val="67C618F1"/>
    <w:rsid w:val="67F11B34"/>
    <w:rsid w:val="682D7F1E"/>
    <w:rsid w:val="682F205A"/>
    <w:rsid w:val="688334C4"/>
    <w:rsid w:val="693B7234"/>
    <w:rsid w:val="69542F02"/>
    <w:rsid w:val="695B21AB"/>
    <w:rsid w:val="699E7EEC"/>
    <w:rsid w:val="69AB0FA4"/>
    <w:rsid w:val="69B03BA8"/>
    <w:rsid w:val="69DA7573"/>
    <w:rsid w:val="69DF5ECA"/>
    <w:rsid w:val="6A2D08A0"/>
    <w:rsid w:val="6A3550F2"/>
    <w:rsid w:val="6A3B54B0"/>
    <w:rsid w:val="6A565227"/>
    <w:rsid w:val="6A9839F8"/>
    <w:rsid w:val="6AFF7146"/>
    <w:rsid w:val="6B2D7A85"/>
    <w:rsid w:val="6B33683F"/>
    <w:rsid w:val="6B8E29AA"/>
    <w:rsid w:val="6C264CF2"/>
    <w:rsid w:val="6C301C79"/>
    <w:rsid w:val="6C392B7B"/>
    <w:rsid w:val="6C9F4AA4"/>
    <w:rsid w:val="6CB100E7"/>
    <w:rsid w:val="6CBC11B2"/>
    <w:rsid w:val="6D4E5DC0"/>
    <w:rsid w:val="6D770380"/>
    <w:rsid w:val="6D7F71A8"/>
    <w:rsid w:val="6D93000A"/>
    <w:rsid w:val="6DBA7A98"/>
    <w:rsid w:val="6DBB7FED"/>
    <w:rsid w:val="6DE24C48"/>
    <w:rsid w:val="6DE500A2"/>
    <w:rsid w:val="6E2E4332"/>
    <w:rsid w:val="6E341DD0"/>
    <w:rsid w:val="6E5B0E06"/>
    <w:rsid w:val="6E5B22EB"/>
    <w:rsid w:val="6E6A3CEA"/>
    <w:rsid w:val="6E731D44"/>
    <w:rsid w:val="6F3413A6"/>
    <w:rsid w:val="6F3D536C"/>
    <w:rsid w:val="6F581AE2"/>
    <w:rsid w:val="6F973D9C"/>
    <w:rsid w:val="6FC40194"/>
    <w:rsid w:val="6FDC74F9"/>
    <w:rsid w:val="6FF86747"/>
    <w:rsid w:val="700522CC"/>
    <w:rsid w:val="70465CE6"/>
    <w:rsid w:val="711201B3"/>
    <w:rsid w:val="71296110"/>
    <w:rsid w:val="71404A08"/>
    <w:rsid w:val="71AC5D26"/>
    <w:rsid w:val="71C31235"/>
    <w:rsid w:val="71C35211"/>
    <w:rsid w:val="721A2F83"/>
    <w:rsid w:val="722E1DED"/>
    <w:rsid w:val="72374797"/>
    <w:rsid w:val="72C64CE3"/>
    <w:rsid w:val="72D157A8"/>
    <w:rsid w:val="733028FA"/>
    <w:rsid w:val="738C633D"/>
    <w:rsid w:val="73E42338"/>
    <w:rsid w:val="74640AAD"/>
    <w:rsid w:val="74F82289"/>
    <w:rsid w:val="75043042"/>
    <w:rsid w:val="75115ED5"/>
    <w:rsid w:val="754C038C"/>
    <w:rsid w:val="75541000"/>
    <w:rsid w:val="756155F2"/>
    <w:rsid w:val="756D1A2D"/>
    <w:rsid w:val="762A6956"/>
    <w:rsid w:val="767D459E"/>
    <w:rsid w:val="769F3946"/>
    <w:rsid w:val="76B43CF5"/>
    <w:rsid w:val="76CD2DB9"/>
    <w:rsid w:val="76F53C3E"/>
    <w:rsid w:val="771B5705"/>
    <w:rsid w:val="77660698"/>
    <w:rsid w:val="777953BA"/>
    <w:rsid w:val="779F1DFC"/>
    <w:rsid w:val="782347DB"/>
    <w:rsid w:val="7827017C"/>
    <w:rsid w:val="784D5ECF"/>
    <w:rsid w:val="79002D6F"/>
    <w:rsid w:val="79032394"/>
    <w:rsid w:val="790E2D96"/>
    <w:rsid w:val="793B2638"/>
    <w:rsid w:val="795953D2"/>
    <w:rsid w:val="79940EF9"/>
    <w:rsid w:val="79A65581"/>
    <w:rsid w:val="79B1321F"/>
    <w:rsid w:val="79B87E6E"/>
    <w:rsid w:val="79CB6289"/>
    <w:rsid w:val="79CD24C2"/>
    <w:rsid w:val="79CE6FB8"/>
    <w:rsid w:val="7A296E90"/>
    <w:rsid w:val="7A682025"/>
    <w:rsid w:val="7B3F7B7E"/>
    <w:rsid w:val="7BA37EA7"/>
    <w:rsid w:val="7C09226E"/>
    <w:rsid w:val="7C150BA0"/>
    <w:rsid w:val="7C217284"/>
    <w:rsid w:val="7C341A64"/>
    <w:rsid w:val="7C4B4301"/>
    <w:rsid w:val="7C6929D9"/>
    <w:rsid w:val="7CBB77F6"/>
    <w:rsid w:val="7CE406AC"/>
    <w:rsid w:val="7CE83E99"/>
    <w:rsid w:val="7D3B4375"/>
    <w:rsid w:val="7D554915"/>
    <w:rsid w:val="7D8F021D"/>
    <w:rsid w:val="7DA0004D"/>
    <w:rsid w:val="7DBD2C9F"/>
    <w:rsid w:val="7DFD60A2"/>
    <w:rsid w:val="7E14458D"/>
    <w:rsid w:val="7E2D1F10"/>
    <w:rsid w:val="7E3D2CE1"/>
    <w:rsid w:val="7E6671D0"/>
    <w:rsid w:val="7E87759B"/>
    <w:rsid w:val="7EA700ED"/>
    <w:rsid w:val="7ECC7D7E"/>
    <w:rsid w:val="7F1363F7"/>
    <w:rsid w:val="7F17671C"/>
    <w:rsid w:val="7FA363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7"/>
    <w:qFormat/>
    <w:uiPriority w:val="9"/>
    <w:pPr>
      <w:keepNext/>
      <w:jc w:val="center"/>
      <w:outlineLvl w:val="0"/>
    </w:pPr>
    <w:rPr>
      <w:rFonts w:ascii="黑体" w:eastAsia="黑体"/>
      <w:sz w:val="52"/>
    </w:rPr>
  </w:style>
  <w:style w:type="paragraph" w:styleId="3">
    <w:name w:val="heading 2"/>
    <w:basedOn w:val="1"/>
    <w:next w:val="1"/>
    <w:link w:val="71"/>
    <w:unhideWhenUsed/>
    <w:qFormat/>
    <w:uiPriority w:val="9"/>
    <w:pPr>
      <w:widowControl/>
      <w:snapToGrid w:val="0"/>
      <w:spacing w:line="360" w:lineRule="auto"/>
      <w:ind w:firstLine="200" w:firstLineChars="200"/>
      <w:jc w:val="left"/>
      <w:outlineLvl w:val="1"/>
    </w:pPr>
    <w:rPr>
      <w:b/>
      <w:sz w:val="30"/>
    </w:rPr>
  </w:style>
  <w:style w:type="paragraph" w:styleId="4">
    <w:name w:val="heading 3"/>
    <w:basedOn w:val="1"/>
    <w:next w:val="1"/>
    <w:link w:val="78"/>
    <w:qFormat/>
    <w:uiPriority w:val="9"/>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autoSpaceDE w:val="0"/>
      <w:autoSpaceDN w:val="0"/>
      <w:adjustRightInd w:val="0"/>
      <w:ind w:firstLine="420"/>
    </w:pPr>
    <w:rPr>
      <w:rFonts w:ascii="宋体"/>
      <w:sz w:val="24"/>
    </w:rPr>
  </w:style>
  <w:style w:type="paragraph" w:styleId="6">
    <w:name w:val="Document Map"/>
    <w:basedOn w:val="1"/>
    <w:next w:val="1"/>
    <w:link w:val="58"/>
    <w:qFormat/>
    <w:uiPriority w:val="99"/>
    <w:rPr>
      <w:rFonts w:ascii="宋体"/>
      <w:sz w:val="18"/>
      <w:szCs w:val="18"/>
    </w:rPr>
  </w:style>
  <w:style w:type="paragraph" w:styleId="7">
    <w:name w:val="annotation text"/>
    <w:basedOn w:val="1"/>
    <w:link w:val="51"/>
    <w:qFormat/>
    <w:uiPriority w:val="99"/>
    <w:pPr>
      <w:jc w:val="left"/>
    </w:pPr>
  </w:style>
  <w:style w:type="paragraph" w:styleId="8">
    <w:name w:val="Body Text"/>
    <w:basedOn w:val="1"/>
    <w:next w:val="1"/>
    <w:link w:val="73"/>
    <w:qFormat/>
    <w:uiPriority w:val="0"/>
    <w:pPr>
      <w:spacing w:after="120"/>
    </w:pPr>
  </w:style>
  <w:style w:type="paragraph" w:styleId="9">
    <w:name w:val="Body Text Indent"/>
    <w:basedOn w:val="1"/>
    <w:next w:val="1"/>
    <w:link w:val="74"/>
    <w:qFormat/>
    <w:uiPriority w:val="99"/>
    <w:pPr>
      <w:spacing w:line="200" w:lineRule="exact"/>
      <w:ind w:firstLine="301"/>
    </w:pPr>
    <w:rPr>
      <w:rFonts w:ascii="宋体" w:hAnsi="Courier New"/>
      <w:spacing w:val="-4"/>
      <w:sz w:val="18"/>
      <w:szCs w:val="20"/>
    </w:rPr>
  </w:style>
  <w:style w:type="paragraph" w:styleId="10">
    <w:name w:val="Block Text"/>
    <w:basedOn w:val="1"/>
    <w:qFormat/>
    <w:uiPriority w:val="0"/>
    <w:pPr>
      <w:widowControl/>
      <w:spacing w:before="100" w:beforeAutospacing="1" w:after="100" w:afterAutospacing="1"/>
      <w:jc w:val="left"/>
    </w:pPr>
    <w:rPr>
      <w:rFonts w:ascii="宋体" w:hAnsi="宋体" w:cs="宋体"/>
      <w:kern w:val="0"/>
      <w:sz w:val="24"/>
    </w:rPr>
  </w:style>
  <w:style w:type="paragraph" w:styleId="11">
    <w:name w:val="Plain Text"/>
    <w:basedOn w:val="1"/>
    <w:next w:val="5"/>
    <w:link w:val="56"/>
    <w:qFormat/>
    <w:uiPriority w:val="0"/>
    <w:rPr>
      <w:rFonts w:ascii="宋体" w:hAnsi="Courier New" w:cs="Courier New"/>
      <w:szCs w:val="21"/>
    </w:rPr>
  </w:style>
  <w:style w:type="paragraph" w:styleId="12">
    <w:name w:val="Date"/>
    <w:basedOn w:val="1"/>
    <w:next w:val="1"/>
    <w:qFormat/>
    <w:uiPriority w:val="0"/>
    <w:rPr>
      <w:rFonts w:ascii="宋体" w:hAnsi="宋体"/>
      <w:sz w:val="24"/>
    </w:rPr>
  </w:style>
  <w:style w:type="paragraph" w:styleId="13">
    <w:name w:val="Body Text Indent 2"/>
    <w:basedOn w:val="1"/>
    <w:link w:val="44"/>
    <w:qFormat/>
    <w:uiPriority w:val="0"/>
    <w:pPr>
      <w:spacing w:after="120" w:line="480" w:lineRule="auto"/>
      <w:ind w:left="420" w:leftChars="200"/>
    </w:pPr>
  </w:style>
  <w:style w:type="paragraph" w:styleId="14">
    <w:name w:val="Balloon Text"/>
    <w:basedOn w:val="1"/>
    <w:link w:val="76"/>
    <w:semiHidden/>
    <w:qFormat/>
    <w:uiPriority w:val="99"/>
    <w:rPr>
      <w:sz w:val="18"/>
      <w:szCs w:val="18"/>
    </w:rPr>
  </w:style>
  <w:style w:type="paragraph" w:styleId="15">
    <w:name w:val="footer"/>
    <w:basedOn w:val="1"/>
    <w:link w:val="75"/>
    <w:qFormat/>
    <w:uiPriority w:val="99"/>
    <w:pPr>
      <w:tabs>
        <w:tab w:val="center" w:pos="4153"/>
        <w:tab w:val="right" w:pos="8306"/>
      </w:tabs>
      <w:snapToGrid w:val="0"/>
      <w:jc w:val="left"/>
    </w:pPr>
    <w:rPr>
      <w:sz w:val="18"/>
      <w:szCs w:val="18"/>
    </w:rPr>
  </w:style>
  <w:style w:type="paragraph" w:styleId="16">
    <w:name w:val="envelope return"/>
    <w:basedOn w:val="1"/>
    <w:qFormat/>
    <w:uiPriority w:val="0"/>
    <w:pPr>
      <w:snapToGrid w:val="0"/>
      <w:jc w:val="center"/>
    </w:pPr>
    <w:rPr>
      <w:sz w:val="24"/>
    </w:rPr>
  </w:style>
  <w:style w:type="paragraph" w:styleId="17">
    <w:name w:val="header"/>
    <w:basedOn w:val="1"/>
    <w:link w:val="50"/>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before="120" w:after="120"/>
      <w:jc w:val="left"/>
    </w:pPr>
    <w:rPr>
      <w:b/>
      <w:bCs/>
      <w:caps/>
      <w:sz w:val="20"/>
      <w:szCs w:val="20"/>
    </w:rPr>
  </w:style>
  <w:style w:type="paragraph" w:styleId="19">
    <w:name w:val="toc 4"/>
    <w:basedOn w:val="1"/>
    <w:next w:val="1"/>
    <w:qFormat/>
    <w:uiPriority w:val="0"/>
    <w:pPr>
      <w:ind w:left="1260"/>
    </w:p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1">
    <w:name w:val="annotation subject"/>
    <w:basedOn w:val="7"/>
    <w:next w:val="7"/>
    <w:link w:val="54"/>
    <w:qFormat/>
    <w:uiPriority w:val="99"/>
    <w:rPr>
      <w:b/>
      <w:bCs/>
    </w:rPr>
  </w:style>
  <w:style w:type="paragraph" w:styleId="22">
    <w:name w:val="Body Text First Indent 2"/>
    <w:basedOn w:val="9"/>
    <w:next w:val="1"/>
    <w:qFormat/>
    <w:uiPriority w:val="0"/>
    <w:pPr>
      <w:ind w:firstLine="420"/>
    </w:pPr>
  </w:style>
  <w:style w:type="table" w:styleId="24">
    <w:name w:val="Table Grid"/>
    <w:basedOn w:val="23"/>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character" w:styleId="28">
    <w:name w:val="FollowedHyperlink"/>
    <w:basedOn w:val="25"/>
    <w:qFormat/>
    <w:uiPriority w:val="99"/>
    <w:rPr>
      <w:color w:val="333333"/>
      <w:u w:val="none"/>
    </w:rPr>
  </w:style>
  <w:style w:type="character" w:styleId="29">
    <w:name w:val="Emphasis"/>
    <w:basedOn w:val="25"/>
    <w:qFormat/>
    <w:uiPriority w:val="0"/>
  </w:style>
  <w:style w:type="character" w:styleId="30">
    <w:name w:val="HTML Definition"/>
    <w:basedOn w:val="25"/>
    <w:qFormat/>
    <w:uiPriority w:val="0"/>
  </w:style>
  <w:style w:type="character" w:styleId="31">
    <w:name w:val="HTML Acronym"/>
    <w:basedOn w:val="25"/>
    <w:qFormat/>
    <w:uiPriority w:val="0"/>
  </w:style>
  <w:style w:type="character" w:styleId="32">
    <w:name w:val="HTML Variable"/>
    <w:basedOn w:val="25"/>
    <w:qFormat/>
    <w:uiPriority w:val="0"/>
  </w:style>
  <w:style w:type="character" w:styleId="33">
    <w:name w:val="Hyperlink"/>
    <w:qFormat/>
    <w:uiPriority w:val="99"/>
    <w:rPr>
      <w:color w:val="000000"/>
      <w:u w:val="none"/>
    </w:rPr>
  </w:style>
  <w:style w:type="character" w:styleId="34">
    <w:name w:val="HTML Code"/>
    <w:basedOn w:val="25"/>
    <w:qFormat/>
    <w:uiPriority w:val="0"/>
    <w:rPr>
      <w:rFonts w:ascii="Courier New" w:hAnsi="Courier New"/>
      <w:sz w:val="20"/>
    </w:rPr>
  </w:style>
  <w:style w:type="character" w:styleId="35">
    <w:name w:val="annotation reference"/>
    <w:basedOn w:val="25"/>
    <w:qFormat/>
    <w:uiPriority w:val="99"/>
    <w:rPr>
      <w:sz w:val="21"/>
      <w:szCs w:val="21"/>
    </w:rPr>
  </w:style>
  <w:style w:type="character" w:styleId="36">
    <w:name w:val="HTML Cite"/>
    <w:basedOn w:val="25"/>
    <w:qFormat/>
    <w:uiPriority w:val="0"/>
  </w:style>
  <w:style w:type="paragraph" w:customStyle="1" w:styleId="37">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customStyle="1" w:styleId="38">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39">
    <w:name w:val="font61"/>
    <w:basedOn w:val="25"/>
    <w:qFormat/>
    <w:uiPriority w:val="0"/>
    <w:rPr>
      <w:rFonts w:hint="eastAsia" w:ascii="宋体" w:hAnsi="宋体" w:eastAsia="宋体" w:cs="宋体"/>
      <w:b/>
      <w:color w:val="000000"/>
      <w:sz w:val="24"/>
      <w:szCs w:val="24"/>
      <w:u w:val="none"/>
    </w:rPr>
  </w:style>
  <w:style w:type="character" w:customStyle="1" w:styleId="40">
    <w:name w:val="font11"/>
    <w:basedOn w:val="25"/>
    <w:qFormat/>
    <w:uiPriority w:val="0"/>
    <w:rPr>
      <w:rFonts w:hint="default" w:ascii="Arial" w:hAnsi="Arial" w:cs="Arial"/>
      <w:color w:val="FF0000"/>
      <w:sz w:val="20"/>
      <w:szCs w:val="20"/>
      <w:u w:val="none"/>
    </w:rPr>
  </w:style>
  <w:style w:type="character" w:customStyle="1" w:styleId="41">
    <w:name w:val="font01"/>
    <w:basedOn w:val="25"/>
    <w:qFormat/>
    <w:uiPriority w:val="0"/>
    <w:rPr>
      <w:rFonts w:hint="default" w:ascii="Arial" w:hAnsi="Arial" w:cs="Arial"/>
      <w:color w:val="000000"/>
      <w:sz w:val="20"/>
      <w:szCs w:val="20"/>
      <w:u w:val="none"/>
    </w:rPr>
  </w:style>
  <w:style w:type="character" w:customStyle="1" w:styleId="42">
    <w:name w:val="font51"/>
    <w:basedOn w:val="25"/>
    <w:qFormat/>
    <w:uiPriority w:val="0"/>
    <w:rPr>
      <w:rFonts w:hint="eastAsia" w:ascii="宋体" w:hAnsi="宋体" w:eastAsia="宋体" w:cs="宋体"/>
      <w:color w:val="FF0000"/>
      <w:sz w:val="20"/>
      <w:szCs w:val="20"/>
      <w:u w:val="none"/>
    </w:rPr>
  </w:style>
  <w:style w:type="character" w:customStyle="1" w:styleId="43">
    <w:name w:val="font31"/>
    <w:basedOn w:val="25"/>
    <w:qFormat/>
    <w:uiPriority w:val="0"/>
    <w:rPr>
      <w:rFonts w:hint="eastAsia" w:ascii="宋体" w:hAnsi="宋体" w:eastAsia="宋体" w:cs="宋体"/>
      <w:color w:val="000000"/>
      <w:sz w:val="20"/>
      <w:szCs w:val="20"/>
      <w:u w:val="none"/>
    </w:rPr>
  </w:style>
  <w:style w:type="character" w:customStyle="1" w:styleId="44">
    <w:name w:val="正文文本缩进 2 字符"/>
    <w:link w:val="13"/>
    <w:qFormat/>
    <w:uiPriority w:val="0"/>
    <w:rPr>
      <w:kern w:val="2"/>
      <w:sz w:val="21"/>
      <w:szCs w:val="24"/>
    </w:rPr>
  </w:style>
  <w:style w:type="character" w:customStyle="1" w:styleId="45">
    <w:name w:val="Char Char3"/>
    <w:qFormat/>
    <w:locked/>
    <w:uiPriority w:val="0"/>
    <w:rPr>
      <w:rFonts w:ascii="宋体" w:hAnsi="Courier New" w:eastAsia="宋体"/>
      <w:kern w:val="2"/>
      <w:sz w:val="21"/>
      <w:lang w:val="en-US" w:eastAsia="zh-CN" w:bidi="ar-SA"/>
    </w:rPr>
  </w:style>
  <w:style w:type="character" w:customStyle="1" w:styleId="46">
    <w:name w:val="font41"/>
    <w:basedOn w:val="25"/>
    <w:qFormat/>
    <w:uiPriority w:val="0"/>
    <w:rPr>
      <w:rFonts w:hint="default" w:ascii="Arial" w:hAnsi="Arial" w:cs="Arial"/>
      <w:color w:val="FF0000"/>
      <w:sz w:val="20"/>
      <w:szCs w:val="20"/>
      <w:u w:val="none"/>
    </w:rPr>
  </w:style>
  <w:style w:type="character" w:customStyle="1" w:styleId="47">
    <w:name w:val="font81"/>
    <w:basedOn w:val="25"/>
    <w:qFormat/>
    <w:uiPriority w:val="0"/>
    <w:rPr>
      <w:rFonts w:hint="eastAsia" w:ascii="宋体" w:hAnsi="宋体" w:eastAsia="宋体" w:cs="宋体"/>
      <w:b/>
      <w:color w:val="000000"/>
      <w:sz w:val="22"/>
      <w:szCs w:val="22"/>
      <w:u w:val="none"/>
    </w:rPr>
  </w:style>
  <w:style w:type="character" w:customStyle="1" w:styleId="48">
    <w:name w:val="样式 纯文本 + (符号) 宋体 Char"/>
    <w:link w:val="49"/>
    <w:qFormat/>
    <w:uiPriority w:val="0"/>
    <w:rPr>
      <w:rFonts w:ascii="宋体" w:hAnsi="Courier New" w:eastAsia="宋体"/>
      <w:kern w:val="2"/>
      <w:sz w:val="21"/>
      <w:lang w:val="en-US" w:eastAsia="zh-CN" w:bidi="ar-SA"/>
    </w:rPr>
  </w:style>
  <w:style w:type="paragraph" w:customStyle="1" w:styleId="49">
    <w:name w:val="样式 纯文本 + (符号) 宋体"/>
    <w:basedOn w:val="11"/>
    <w:link w:val="48"/>
    <w:qFormat/>
    <w:uiPriority w:val="0"/>
    <w:pPr>
      <w:jc w:val="center"/>
    </w:pPr>
    <w:rPr>
      <w:rFonts w:cs="Times New Roman"/>
      <w:szCs w:val="20"/>
    </w:rPr>
  </w:style>
  <w:style w:type="character" w:customStyle="1" w:styleId="50">
    <w:name w:val="页眉 字符"/>
    <w:basedOn w:val="25"/>
    <w:link w:val="17"/>
    <w:qFormat/>
    <w:uiPriority w:val="99"/>
    <w:rPr>
      <w:kern w:val="2"/>
      <w:sz w:val="18"/>
      <w:szCs w:val="18"/>
    </w:rPr>
  </w:style>
  <w:style w:type="character" w:customStyle="1" w:styleId="51">
    <w:name w:val="批注文字 字符"/>
    <w:basedOn w:val="25"/>
    <w:link w:val="7"/>
    <w:qFormat/>
    <w:uiPriority w:val="99"/>
    <w:rPr>
      <w:kern w:val="2"/>
      <w:sz w:val="21"/>
      <w:szCs w:val="24"/>
    </w:rPr>
  </w:style>
  <w:style w:type="character" w:customStyle="1" w:styleId="52">
    <w:name w:val="font71"/>
    <w:basedOn w:val="25"/>
    <w:qFormat/>
    <w:uiPriority w:val="0"/>
    <w:rPr>
      <w:rFonts w:hint="eastAsia" w:ascii="宋体" w:hAnsi="宋体" w:eastAsia="宋体" w:cs="宋体"/>
      <w:color w:val="000000"/>
      <w:sz w:val="20"/>
      <w:szCs w:val="20"/>
      <w:u w:val="none"/>
    </w:rPr>
  </w:style>
  <w:style w:type="character" w:customStyle="1" w:styleId="53">
    <w:name w:val="font21"/>
    <w:basedOn w:val="25"/>
    <w:qFormat/>
    <w:uiPriority w:val="0"/>
    <w:rPr>
      <w:rFonts w:hint="eastAsia" w:ascii="宋体" w:hAnsi="宋体" w:eastAsia="宋体" w:cs="宋体"/>
      <w:color w:val="000000"/>
      <w:sz w:val="20"/>
      <w:szCs w:val="20"/>
      <w:u w:val="none"/>
    </w:rPr>
  </w:style>
  <w:style w:type="character" w:customStyle="1" w:styleId="54">
    <w:name w:val="批注主题 字符"/>
    <w:basedOn w:val="51"/>
    <w:link w:val="21"/>
    <w:qFormat/>
    <w:uiPriority w:val="99"/>
    <w:rPr>
      <w:kern w:val="2"/>
      <w:sz w:val="21"/>
      <w:szCs w:val="24"/>
    </w:rPr>
  </w:style>
  <w:style w:type="character" w:customStyle="1" w:styleId="55">
    <w:name w:val="apple-converted-space"/>
    <w:basedOn w:val="25"/>
    <w:qFormat/>
    <w:uiPriority w:val="0"/>
  </w:style>
  <w:style w:type="character" w:customStyle="1" w:styleId="56">
    <w:name w:val="纯文本 字符"/>
    <w:link w:val="11"/>
    <w:qFormat/>
    <w:uiPriority w:val="0"/>
    <w:rPr>
      <w:rFonts w:ascii="宋体" w:hAnsi="Courier New" w:eastAsia="宋体" w:cs="Courier New"/>
      <w:kern w:val="2"/>
      <w:sz w:val="21"/>
      <w:szCs w:val="21"/>
      <w:lang w:val="en-US" w:eastAsia="zh-CN" w:bidi="ar-SA"/>
    </w:rPr>
  </w:style>
  <w:style w:type="paragraph" w:customStyle="1" w:styleId="57">
    <w:name w:val="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58">
    <w:name w:val="文档结构图 字符"/>
    <w:basedOn w:val="25"/>
    <w:link w:val="6"/>
    <w:qFormat/>
    <w:uiPriority w:val="99"/>
    <w:rPr>
      <w:rFonts w:ascii="宋体"/>
      <w:kern w:val="2"/>
      <w:sz w:val="18"/>
      <w:szCs w:val="18"/>
    </w:rPr>
  </w:style>
  <w:style w:type="paragraph" w:customStyle="1" w:styleId="59">
    <w:name w:val="纯文本11"/>
    <w:next w:val="19"/>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0">
    <w:name w:val="纯文本2"/>
    <w:next w:val="19"/>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1">
    <w:name w:val="纯文本1"/>
    <w:next w:val="19"/>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2">
    <w:name w:val="纯文本12"/>
    <w:next w:val="19"/>
    <w:qFormat/>
    <w:uiPriority w:val="0"/>
    <w:pPr>
      <w:widowControl w:val="0"/>
      <w:adjustRightInd w:val="0"/>
      <w:jc w:val="both"/>
    </w:pPr>
    <w:rPr>
      <w:rFonts w:ascii="宋体" w:hAnsi="宋体" w:eastAsia="楷体_GB2312" w:cs="Times New Roman"/>
      <w:kern w:val="2"/>
      <w:sz w:val="26"/>
      <w:szCs w:val="22"/>
      <w:lang w:val="en-US" w:eastAsia="zh-CN" w:bidi="ar-SA"/>
    </w:rPr>
  </w:style>
  <w:style w:type="paragraph" w:styleId="63">
    <w:name w:val="List Paragraph"/>
    <w:basedOn w:val="1"/>
    <w:qFormat/>
    <w:uiPriority w:val="99"/>
    <w:pPr>
      <w:ind w:firstLine="420" w:firstLineChars="200"/>
    </w:pPr>
  </w:style>
  <w:style w:type="paragraph" w:customStyle="1" w:styleId="64">
    <w:name w:val="无间隔1"/>
    <w:basedOn w:val="1"/>
    <w:qFormat/>
    <w:uiPriority w:val="0"/>
  </w:style>
  <w:style w:type="character" w:customStyle="1" w:styleId="65">
    <w:name w:val="font131"/>
    <w:basedOn w:val="25"/>
    <w:qFormat/>
    <w:uiPriority w:val="0"/>
    <w:rPr>
      <w:rFonts w:hint="eastAsia" w:ascii="仿宋" w:hAnsi="仿宋" w:eastAsia="仿宋" w:cs="仿宋"/>
      <w:color w:val="000000"/>
      <w:sz w:val="20"/>
      <w:szCs w:val="20"/>
      <w:u w:val="none"/>
    </w:rPr>
  </w:style>
  <w:style w:type="character" w:customStyle="1" w:styleId="66">
    <w:name w:val="font142"/>
    <w:basedOn w:val="25"/>
    <w:qFormat/>
    <w:uiPriority w:val="0"/>
    <w:rPr>
      <w:rFonts w:hint="eastAsia" w:ascii="仿宋" w:hAnsi="仿宋" w:eastAsia="仿宋" w:cs="仿宋"/>
      <w:color w:val="000000"/>
      <w:sz w:val="20"/>
      <w:szCs w:val="20"/>
      <w:u w:val="none"/>
      <w:vertAlign w:val="subscript"/>
    </w:rPr>
  </w:style>
  <w:style w:type="paragraph" w:customStyle="1" w:styleId="67">
    <w:name w:val="表格内容"/>
    <w:basedOn w:val="1"/>
    <w:qFormat/>
    <w:uiPriority w:val="0"/>
    <w:pPr>
      <w:jc w:val="center"/>
    </w:pPr>
    <w:rPr>
      <w:rFonts w:eastAsia="仿宋_GB2312"/>
      <w:sz w:val="18"/>
      <w:szCs w:val="21"/>
    </w:rPr>
  </w:style>
  <w:style w:type="paragraph" w:customStyle="1" w:styleId="68">
    <w:name w:val="图表名"/>
    <w:next w:val="1"/>
    <w:qFormat/>
    <w:uiPriority w:val="0"/>
    <w:pPr>
      <w:jc w:val="center"/>
    </w:pPr>
    <w:rPr>
      <w:rFonts w:ascii="Times New Roman" w:hAnsi="Times New Roman" w:eastAsia="黑体" w:cstheme="minorBidi"/>
      <w:b/>
      <w:bCs/>
      <w:kern w:val="44"/>
      <w:sz w:val="21"/>
      <w:szCs w:val="44"/>
      <w:lang w:val="en-US" w:eastAsia="zh-CN" w:bidi="ar-SA"/>
    </w:rPr>
  </w:style>
  <w:style w:type="paragraph" w:customStyle="1" w:styleId="69">
    <w:name w:val="图表"/>
    <w:basedOn w:val="68"/>
    <w:next w:val="68"/>
    <w:qFormat/>
    <w:uiPriority w:val="0"/>
    <w:rPr>
      <w:rFonts w:eastAsia="仿宋"/>
      <w:b w:val="0"/>
      <w:sz w:val="24"/>
    </w:rPr>
  </w:style>
  <w:style w:type="paragraph" w:customStyle="1" w:styleId="70">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71">
    <w:name w:val="标题 2 字符"/>
    <w:basedOn w:val="25"/>
    <w:link w:val="3"/>
    <w:qFormat/>
    <w:uiPriority w:val="9"/>
    <w:rPr>
      <w:b/>
      <w:kern w:val="2"/>
      <w:sz w:val="30"/>
      <w:szCs w:val="24"/>
    </w:rPr>
  </w:style>
  <w:style w:type="table" w:customStyle="1" w:styleId="72">
    <w:name w:val="网格型1"/>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3">
    <w:name w:val="正文文本 字符"/>
    <w:link w:val="8"/>
    <w:qFormat/>
    <w:uiPriority w:val="0"/>
    <w:rPr>
      <w:kern w:val="2"/>
      <w:sz w:val="21"/>
      <w:szCs w:val="24"/>
    </w:rPr>
  </w:style>
  <w:style w:type="character" w:customStyle="1" w:styleId="74">
    <w:name w:val="正文文本缩进 字符"/>
    <w:basedOn w:val="25"/>
    <w:link w:val="9"/>
    <w:qFormat/>
    <w:uiPriority w:val="99"/>
    <w:rPr>
      <w:rFonts w:ascii="宋体" w:hAnsi="Courier New"/>
      <w:spacing w:val="-4"/>
      <w:kern w:val="2"/>
      <w:sz w:val="18"/>
    </w:rPr>
  </w:style>
  <w:style w:type="character" w:customStyle="1" w:styleId="75">
    <w:name w:val="页脚 字符"/>
    <w:basedOn w:val="25"/>
    <w:link w:val="15"/>
    <w:qFormat/>
    <w:uiPriority w:val="99"/>
    <w:rPr>
      <w:kern w:val="2"/>
      <w:sz w:val="18"/>
      <w:szCs w:val="18"/>
    </w:rPr>
  </w:style>
  <w:style w:type="character" w:customStyle="1" w:styleId="76">
    <w:name w:val="批注框文本 字符"/>
    <w:basedOn w:val="25"/>
    <w:link w:val="14"/>
    <w:semiHidden/>
    <w:qFormat/>
    <w:uiPriority w:val="99"/>
    <w:rPr>
      <w:kern w:val="2"/>
      <w:sz w:val="18"/>
      <w:szCs w:val="18"/>
    </w:rPr>
  </w:style>
  <w:style w:type="character" w:customStyle="1" w:styleId="77">
    <w:name w:val="标题 1 字符"/>
    <w:basedOn w:val="25"/>
    <w:link w:val="2"/>
    <w:qFormat/>
    <w:uiPriority w:val="9"/>
    <w:rPr>
      <w:rFonts w:ascii="黑体" w:eastAsia="黑体"/>
      <w:kern w:val="2"/>
      <w:sz w:val="52"/>
      <w:szCs w:val="24"/>
    </w:rPr>
  </w:style>
  <w:style w:type="character" w:customStyle="1" w:styleId="78">
    <w:name w:val="标题 3 字符"/>
    <w:basedOn w:val="25"/>
    <w:link w:val="4"/>
    <w:qFormat/>
    <w:uiPriority w:val="9"/>
    <w:rPr>
      <w:b/>
      <w:bCs/>
      <w:kern w:val="2"/>
      <w:sz w:val="32"/>
      <w:szCs w:val="32"/>
    </w:rPr>
  </w:style>
  <w:style w:type="paragraph" w:customStyle="1" w:styleId="79">
    <w:name w:val="正文2"/>
    <w:qFormat/>
    <w:uiPriority w:val="0"/>
    <w:pPr>
      <w:widowControl w:val="0"/>
      <w:jc w:val="both"/>
    </w:pPr>
    <w:rPr>
      <w:rFonts w:ascii="Calibri" w:hAnsi="Calibri" w:eastAsia="宋体" w:cs="Times New Roman"/>
      <w:lang w:val="en-US" w:eastAsia="zh-CN" w:bidi="ar-SA"/>
    </w:rPr>
  </w:style>
  <w:style w:type="paragraph" w:customStyle="1" w:styleId="80">
    <w:name w:val="正文1"/>
    <w:qFormat/>
    <w:uiPriority w:val="0"/>
    <w:pPr>
      <w:widowControl w:val="0"/>
      <w:spacing w:line="360" w:lineRule="auto"/>
    </w:pPr>
    <w:rPr>
      <w:rFonts w:ascii="Calibri" w:hAnsi="Calibri" w:eastAsia="等线" w:cs="Times New Roman"/>
      <w:sz w:val="24"/>
      <w:szCs w:val="24"/>
      <w:lang w:val="en-US" w:eastAsia="zh-CN" w:bidi="ar-SA"/>
    </w:rPr>
  </w:style>
  <w:style w:type="character" w:customStyle="1" w:styleId="81">
    <w:name w:val="页码1"/>
    <w:basedOn w:val="25"/>
    <w:qFormat/>
    <w:uiPriority w:val="0"/>
  </w:style>
  <w:style w:type="paragraph" w:customStyle="1" w:styleId="82">
    <w:name w:val="Table Paragraph"/>
    <w:basedOn w:val="1"/>
    <w:qFormat/>
    <w:uiPriority w:val="1"/>
    <w:pPr>
      <w:autoSpaceDE w:val="0"/>
      <w:autoSpaceDN w:val="0"/>
      <w:adjustRightInd w:val="0"/>
      <w:jc w:val="left"/>
    </w:pPr>
    <w:rPr>
      <w:rFonts w:eastAsia="等线"/>
      <w:kern w:val="0"/>
      <w:sz w:val="24"/>
    </w:rPr>
  </w:style>
  <w:style w:type="paragraph" w:customStyle="1" w:styleId="83">
    <w:name w:val="正文 A"/>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84">
    <w:name w:val="NormalCharacter"/>
    <w:qFormat/>
    <w:uiPriority w:val="0"/>
    <w:rPr>
      <w:rFonts w:ascii="Times New Roman" w:hAnsi="Times New Roman" w:eastAsia="宋体" w:cs="Times New Roman"/>
      <w:kern w:val="2"/>
      <w:sz w:val="21"/>
      <w:lang w:val="en-US" w:eastAsia="zh-CN" w:bidi="ar-SA"/>
    </w:rPr>
  </w:style>
  <w:style w:type="paragraph" w:customStyle="1" w:styleId="85">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8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7">
    <w:name w:val="font5"/>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88">
    <w:name w:val="font6"/>
    <w:basedOn w:val="1"/>
    <w:qFormat/>
    <w:uiPriority w:val="0"/>
    <w:pPr>
      <w:widowControl/>
      <w:spacing w:before="100" w:beforeAutospacing="1" w:after="100" w:afterAutospacing="1"/>
      <w:jc w:val="left"/>
    </w:pPr>
    <w:rPr>
      <w:color w:val="000000"/>
      <w:kern w:val="0"/>
      <w:sz w:val="22"/>
      <w:szCs w:val="22"/>
    </w:rPr>
  </w:style>
  <w:style w:type="paragraph" w:customStyle="1" w:styleId="89">
    <w:name w:val="font7"/>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90">
    <w:name w:val="font8"/>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91">
    <w:name w:val="font9"/>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92">
    <w:name w:val="font10"/>
    <w:basedOn w:val="1"/>
    <w:qFormat/>
    <w:uiPriority w:val="0"/>
    <w:pPr>
      <w:widowControl/>
      <w:spacing w:before="100" w:beforeAutospacing="1" w:after="100" w:afterAutospacing="1"/>
      <w:jc w:val="left"/>
    </w:pPr>
    <w:rPr>
      <w:rFonts w:ascii="等线" w:hAnsi="等线" w:eastAsia="等线" w:cs="宋体"/>
      <w:color w:val="000000"/>
      <w:kern w:val="0"/>
      <w:sz w:val="22"/>
      <w:szCs w:val="22"/>
    </w:rPr>
  </w:style>
  <w:style w:type="paragraph" w:customStyle="1" w:styleId="93">
    <w:name w:val="font12"/>
    <w:basedOn w:val="1"/>
    <w:qFormat/>
    <w:uiPriority w:val="0"/>
    <w:pPr>
      <w:widowControl/>
      <w:spacing w:before="100" w:beforeAutospacing="1" w:after="100" w:afterAutospacing="1"/>
      <w:jc w:val="left"/>
    </w:pPr>
    <w:rPr>
      <w:b/>
      <w:bCs/>
      <w:color w:val="000000"/>
      <w:kern w:val="0"/>
      <w:sz w:val="22"/>
      <w:szCs w:val="22"/>
    </w:rPr>
  </w:style>
  <w:style w:type="paragraph" w:customStyle="1" w:styleId="94">
    <w:name w:val="font13"/>
    <w:basedOn w:val="1"/>
    <w:qFormat/>
    <w:uiPriority w:val="0"/>
    <w:pPr>
      <w:widowControl/>
      <w:spacing w:before="100" w:beforeAutospacing="1" w:after="100" w:afterAutospacing="1"/>
      <w:jc w:val="left"/>
    </w:pPr>
    <w:rPr>
      <w:rFonts w:ascii="宋体" w:hAnsi="宋体" w:cs="宋体"/>
      <w:b/>
      <w:bCs/>
      <w:color w:val="000000"/>
      <w:kern w:val="0"/>
      <w:sz w:val="22"/>
      <w:szCs w:val="22"/>
    </w:rPr>
  </w:style>
  <w:style w:type="paragraph" w:customStyle="1" w:styleId="95">
    <w:name w:val="xl65"/>
    <w:basedOn w:val="1"/>
    <w:qFormat/>
    <w:uiPriority w:val="0"/>
    <w:pPr>
      <w:widowControl/>
      <w:spacing w:before="100" w:beforeAutospacing="1" w:after="100" w:afterAutospacing="1"/>
      <w:jc w:val="left"/>
      <w:textAlignment w:val="bottom"/>
    </w:pPr>
    <w:rPr>
      <w:rFonts w:ascii="宋体" w:hAnsi="宋体" w:cs="宋体"/>
      <w:kern w:val="0"/>
      <w:sz w:val="24"/>
    </w:rPr>
  </w:style>
  <w:style w:type="paragraph" w:customStyle="1" w:styleId="96">
    <w:name w:val="xl66"/>
    <w:basedOn w:val="1"/>
    <w:qFormat/>
    <w:uiPriority w:val="0"/>
    <w:pPr>
      <w:widowControl/>
      <w:spacing w:before="100" w:beforeAutospacing="1" w:after="100" w:afterAutospacing="1"/>
      <w:jc w:val="center"/>
    </w:pPr>
    <w:rPr>
      <w:kern w:val="0"/>
      <w:sz w:val="24"/>
    </w:rPr>
  </w:style>
  <w:style w:type="paragraph" w:customStyle="1" w:styleId="97">
    <w:name w:val="xl67"/>
    <w:basedOn w:val="1"/>
    <w:qFormat/>
    <w:uiPriority w:val="0"/>
    <w:pPr>
      <w:widowControl/>
      <w:spacing w:before="100" w:beforeAutospacing="1" w:after="100" w:afterAutospacing="1"/>
      <w:jc w:val="center"/>
    </w:pPr>
    <w:rPr>
      <w:kern w:val="0"/>
      <w:sz w:val="24"/>
    </w:rPr>
  </w:style>
  <w:style w:type="paragraph" w:customStyle="1" w:styleId="98">
    <w:name w:val="xl68"/>
    <w:basedOn w:val="1"/>
    <w:qFormat/>
    <w:uiPriority w:val="0"/>
    <w:pPr>
      <w:widowControl/>
      <w:spacing w:before="100" w:beforeAutospacing="1" w:after="100" w:afterAutospacing="1"/>
      <w:jc w:val="center"/>
    </w:pPr>
    <w:rPr>
      <w:kern w:val="0"/>
      <w:sz w:val="24"/>
    </w:rPr>
  </w:style>
  <w:style w:type="paragraph" w:customStyle="1" w:styleId="99">
    <w:name w:val="xl69"/>
    <w:basedOn w:val="1"/>
    <w:qFormat/>
    <w:uiPriority w:val="0"/>
    <w:pPr>
      <w:widowControl/>
      <w:spacing w:before="100" w:beforeAutospacing="1" w:after="100" w:afterAutospacing="1"/>
      <w:jc w:val="center"/>
    </w:pPr>
    <w:rPr>
      <w:kern w:val="0"/>
      <w:sz w:val="24"/>
    </w:rPr>
  </w:style>
  <w:style w:type="paragraph" w:customStyle="1" w:styleId="100">
    <w:name w:val="xl70"/>
    <w:basedOn w:val="1"/>
    <w:qFormat/>
    <w:uiPriority w:val="0"/>
    <w:pPr>
      <w:widowControl/>
      <w:spacing w:before="100" w:beforeAutospacing="1" w:after="100" w:afterAutospacing="1"/>
      <w:jc w:val="center"/>
      <w:textAlignment w:val="bottom"/>
    </w:pPr>
    <w:rPr>
      <w:kern w:val="0"/>
      <w:sz w:val="24"/>
    </w:rPr>
  </w:style>
  <w:style w:type="paragraph" w:customStyle="1" w:styleId="101">
    <w:name w:val="xl71"/>
    <w:basedOn w:val="1"/>
    <w:qFormat/>
    <w:uiPriority w:val="0"/>
    <w:pPr>
      <w:widowControl/>
      <w:pBdr>
        <w:left w:val="single" w:color="auto" w:sz="8" w:space="0"/>
      </w:pBdr>
      <w:spacing w:before="100" w:beforeAutospacing="1" w:after="100" w:afterAutospacing="1"/>
      <w:jc w:val="center"/>
    </w:pPr>
    <w:rPr>
      <w:kern w:val="0"/>
      <w:sz w:val="24"/>
    </w:rPr>
  </w:style>
  <w:style w:type="paragraph" w:customStyle="1" w:styleId="102">
    <w:name w:val="xl72"/>
    <w:basedOn w:val="1"/>
    <w:qFormat/>
    <w:uiPriority w:val="0"/>
    <w:pPr>
      <w:widowControl/>
      <w:pBdr>
        <w:right w:val="single" w:color="auto" w:sz="8" w:space="0"/>
      </w:pBdr>
      <w:spacing w:before="100" w:beforeAutospacing="1" w:after="100" w:afterAutospacing="1"/>
      <w:jc w:val="center"/>
      <w:textAlignment w:val="bottom"/>
    </w:pPr>
    <w:rPr>
      <w:kern w:val="0"/>
      <w:sz w:val="24"/>
    </w:rPr>
  </w:style>
  <w:style w:type="paragraph" w:customStyle="1" w:styleId="103">
    <w:name w:val="xl7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04">
    <w:name w:val="xl74"/>
    <w:basedOn w:val="1"/>
    <w:qFormat/>
    <w:uiPriority w:val="0"/>
    <w:pPr>
      <w:widowControl/>
      <w:pBdr>
        <w:right w:val="single" w:color="auto" w:sz="8" w:space="0"/>
      </w:pBdr>
      <w:spacing w:before="100" w:beforeAutospacing="1" w:after="100" w:afterAutospacing="1"/>
      <w:jc w:val="center"/>
      <w:textAlignment w:val="bottom"/>
    </w:pPr>
    <w:rPr>
      <w:rFonts w:ascii="宋体" w:hAnsi="宋体" w:cs="宋体"/>
      <w:kern w:val="0"/>
      <w:sz w:val="24"/>
    </w:rPr>
  </w:style>
  <w:style w:type="paragraph" w:customStyle="1" w:styleId="105">
    <w:name w:val="xl75"/>
    <w:basedOn w:val="1"/>
    <w:qFormat/>
    <w:uiPriority w:val="0"/>
    <w:pPr>
      <w:widowControl/>
      <w:pBdr>
        <w:left w:val="single" w:color="auto" w:sz="8" w:space="0"/>
      </w:pBdr>
      <w:spacing w:before="100" w:beforeAutospacing="1" w:after="100" w:afterAutospacing="1"/>
      <w:jc w:val="center"/>
    </w:pPr>
    <w:rPr>
      <w:rFonts w:ascii="宋体" w:hAnsi="宋体" w:cs="宋体"/>
      <w:kern w:val="0"/>
      <w:sz w:val="24"/>
    </w:rPr>
  </w:style>
  <w:style w:type="paragraph" w:customStyle="1" w:styleId="106">
    <w:name w:val="xl76"/>
    <w:basedOn w:val="1"/>
    <w:qFormat/>
    <w:uiPriority w:val="0"/>
    <w:pPr>
      <w:widowControl/>
      <w:spacing w:before="100" w:beforeAutospacing="1" w:after="100" w:afterAutospacing="1"/>
      <w:jc w:val="center"/>
    </w:pPr>
    <w:rPr>
      <w:b/>
      <w:bCs/>
      <w:kern w:val="0"/>
      <w:sz w:val="24"/>
    </w:rPr>
  </w:style>
  <w:style w:type="paragraph" w:customStyle="1" w:styleId="107">
    <w:name w:val="xl77"/>
    <w:basedOn w:val="1"/>
    <w:qFormat/>
    <w:uiPriority w:val="0"/>
    <w:pPr>
      <w:widowControl/>
      <w:pBdr>
        <w:top w:val="single" w:color="auto" w:sz="8" w:space="0"/>
        <w:left w:val="single" w:color="auto" w:sz="8" w:space="0"/>
      </w:pBdr>
      <w:spacing w:before="100" w:beforeAutospacing="1" w:after="100" w:afterAutospacing="1"/>
      <w:jc w:val="center"/>
    </w:pPr>
    <w:rPr>
      <w:b/>
      <w:bCs/>
      <w:kern w:val="0"/>
      <w:sz w:val="24"/>
    </w:rPr>
  </w:style>
  <w:style w:type="paragraph" w:customStyle="1" w:styleId="108">
    <w:name w:val="xl78"/>
    <w:basedOn w:val="1"/>
    <w:qFormat/>
    <w:uiPriority w:val="0"/>
    <w:pPr>
      <w:widowControl/>
      <w:pBdr>
        <w:top w:val="single" w:color="auto" w:sz="8" w:space="0"/>
      </w:pBdr>
      <w:spacing w:before="100" w:beforeAutospacing="1" w:after="100" w:afterAutospacing="1"/>
      <w:jc w:val="center"/>
    </w:pPr>
    <w:rPr>
      <w:b/>
      <w:bCs/>
      <w:kern w:val="0"/>
      <w:sz w:val="24"/>
    </w:rPr>
  </w:style>
  <w:style w:type="paragraph" w:customStyle="1" w:styleId="109">
    <w:name w:val="xl79"/>
    <w:basedOn w:val="1"/>
    <w:qFormat/>
    <w:uiPriority w:val="0"/>
    <w:pPr>
      <w:widowControl/>
      <w:pBdr>
        <w:top w:val="single" w:color="auto" w:sz="8" w:space="0"/>
        <w:right w:val="single" w:color="auto" w:sz="8" w:space="0"/>
      </w:pBdr>
      <w:spacing w:before="100" w:beforeAutospacing="1" w:after="100" w:afterAutospacing="1"/>
      <w:jc w:val="center"/>
    </w:pPr>
    <w:rPr>
      <w:b/>
      <w:bCs/>
      <w:kern w:val="0"/>
      <w:sz w:val="24"/>
    </w:rPr>
  </w:style>
  <w:style w:type="paragraph" w:customStyle="1" w:styleId="110">
    <w:name w:val="xl80"/>
    <w:basedOn w:val="1"/>
    <w:qFormat/>
    <w:uiPriority w:val="0"/>
    <w:pPr>
      <w:widowControl/>
      <w:pBdr>
        <w:left w:val="single" w:color="auto" w:sz="8" w:space="0"/>
      </w:pBdr>
      <w:spacing w:before="100" w:beforeAutospacing="1" w:after="100" w:afterAutospacing="1"/>
      <w:jc w:val="center"/>
    </w:pPr>
    <w:rPr>
      <w:b/>
      <w:bCs/>
      <w:kern w:val="0"/>
      <w:sz w:val="24"/>
    </w:rPr>
  </w:style>
  <w:style w:type="paragraph" w:customStyle="1" w:styleId="111">
    <w:name w:val="xl81"/>
    <w:basedOn w:val="1"/>
    <w:qFormat/>
    <w:uiPriority w:val="0"/>
    <w:pPr>
      <w:widowControl/>
      <w:spacing w:before="100" w:beforeAutospacing="1" w:after="100" w:afterAutospacing="1"/>
      <w:jc w:val="center"/>
    </w:pPr>
    <w:rPr>
      <w:b/>
      <w:bCs/>
      <w:kern w:val="0"/>
      <w:sz w:val="24"/>
    </w:rPr>
  </w:style>
  <w:style w:type="paragraph" w:customStyle="1" w:styleId="112">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113">
    <w:name w:val="font111"/>
    <w:basedOn w:val="25"/>
    <w:qFormat/>
    <w:uiPriority w:val="0"/>
    <w:rPr>
      <w:rFonts w:ascii="楷体" w:hAnsi="楷体" w:eastAsia="楷体" w:cs="楷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39649A-CBBF-417C-9FC4-F8E334020C1C}">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41</Pages>
  <Words>4384</Words>
  <Characters>24993</Characters>
  <Lines>208</Lines>
  <Paragraphs>58</Paragraphs>
  <TotalTime>19</TotalTime>
  <ScaleCrop>false</ScaleCrop>
  <LinksUpToDate>false</LinksUpToDate>
  <CharactersWithSpaces>29319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2023-06-27T07:15:00Z</dcterms:created>
  <dc:creator>雨林木风</dc:creator>
  <cp:lastModifiedBy>wjenne</cp:lastModifiedBy>
  <cp:lastPrinted>2016-04-07T05:43:00Z</cp:lastPrinted>
  <dcterms:modified xsi:type="dcterms:W3CDTF">2023-11-03T08:59:39Z</dcterms:modified>
  <dc:title>询价采购通知</dc:title>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49C007AFA02045DEAD9F23CB63565343_13</vt:lpwstr>
  </property>
</Properties>
</file>