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napToGrid w:val="0"/>
        <w:jc w:val="center"/>
        <w:rPr>
          <w:rFonts w:ascii="黑体" w:eastAsia="黑体"/>
          <w:b/>
          <w:bCs/>
          <w:spacing w:val="80"/>
          <w:sz w:val="48"/>
          <w:szCs w:val="48"/>
        </w:rPr>
      </w:pPr>
    </w:p>
    <w:p>
      <w:pPr>
        <w:rPr>
          <w:sz w:val="44"/>
          <w:szCs w:val="44"/>
          <w:highlight w:val="none"/>
        </w:rPr>
      </w:pPr>
    </w:p>
    <w:p>
      <w:pPr>
        <w:spacing w:line="680" w:lineRule="exact"/>
        <w:jc w:val="center"/>
        <w:rPr>
          <w:rFonts w:ascii="宋体" w:cs="宋体"/>
          <w:sz w:val="52"/>
          <w:szCs w:val="52"/>
          <w:highlight w:val="none"/>
        </w:rPr>
      </w:pPr>
      <w:r>
        <w:rPr>
          <w:rFonts w:hint="eastAsia" w:ascii="宋体" w:cs="宋体"/>
          <w:sz w:val="52"/>
          <w:szCs w:val="52"/>
          <w:highlight w:val="none"/>
        </w:rPr>
        <w:t xml:space="preserve">常州环保服务有限公司 </w:t>
      </w:r>
    </w:p>
    <w:p>
      <w:pPr>
        <w:spacing w:line="680" w:lineRule="exact"/>
        <w:jc w:val="center"/>
        <w:rPr>
          <w:rFonts w:ascii="宋体" w:cs="宋体"/>
          <w:sz w:val="44"/>
          <w:szCs w:val="44"/>
          <w:highlight w:val="none"/>
        </w:rPr>
      </w:pPr>
    </w:p>
    <w:p>
      <w:pPr>
        <w:pStyle w:val="36"/>
        <w:rPr>
          <w:rFonts w:ascii="宋体" w:cs="宋体"/>
          <w:sz w:val="44"/>
          <w:szCs w:val="44"/>
          <w:highlight w:val="none"/>
        </w:rPr>
      </w:pPr>
    </w:p>
    <w:p>
      <w:pPr>
        <w:pStyle w:val="36"/>
        <w:rPr>
          <w:rFonts w:ascii="宋体" w:cs="宋体"/>
          <w:sz w:val="44"/>
          <w:szCs w:val="44"/>
          <w:highlight w:val="none"/>
        </w:rPr>
      </w:pPr>
    </w:p>
    <w:p>
      <w:pPr>
        <w:spacing w:line="680" w:lineRule="exact"/>
        <w:jc w:val="center"/>
        <w:rPr>
          <w:rFonts w:ascii="宋体" w:cs="宋体"/>
          <w:sz w:val="44"/>
          <w:szCs w:val="44"/>
          <w:highlight w:val="none"/>
        </w:rPr>
      </w:pPr>
      <w:r>
        <w:rPr>
          <w:rFonts w:hint="eastAsia" w:ascii="宋体" w:cs="宋体"/>
          <w:sz w:val="44"/>
          <w:szCs w:val="44"/>
          <w:highlight w:val="none"/>
        </w:rPr>
        <w:t>常州市a地块北区地下水加密调查钻探服务项目</w:t>
      </w:r>
    </w:p>
    <w:p>
      <w:pPr>
        <w:spacing w:line="680" w:lineRule="exact"/>
        <w:jc w:val="center"/>
        <w:rPr>
          <w:rFonts w:ascii="宋体"/>
          <w:sz w:val="44"/>
          <w:szCs w:val="44"/>
          <w:highlight w:val="none"/>
        </w:rPr>
      </w:pPr>
    </w:p>
    <w:p>
      <w:pPr>
        <w:spacing w:line="680" w:lineRule="exact"/>
        <w:jc w:val="center"/>
        <w:rPr>
          <w:rFonts w:ascii="宋体"/>
          <w:sz w:val="44"/>
          <w:szCs w:val="44"/>
          <w:highlight w:val="none"/>
        </w:rPr>
      </w:pPr>
    </w:p>
    <w:p>
      <w:pPr>
        <w:spacing w:line="680" w:lineRule="exact"/>
        <w:jc w:val="center"/>
        <w:rPr>
          <w:rFonts w:ascii="宋体"/>
          <w:sz w:val="44"/>
          <w:szCs w:val="44"/>
          <w:highlight w:val="none"/>
        </w:rPr>
      </w:pPr>
      <w:r>
        <w:rPr>
          <w:rFonts w:hint="eastAsia" w:ascii="宋体" w:cs="宋体"/>
          <w:sz w:val="44"/>
          <w:szCs w:val="44"/>
          <w:highlight w:val="none"/>
        </w:rPr>
        <w:t>询价采购文件</w:t>
      </w:r>
    </w:p>
    <w:p>
      <w:pPr>
        <w:spacing w:line="680" w:lineRule="exact"/>
        <w:jc w:val="center"/>
        <w:rPr>
          <w:rFonts w:ascii="宋体"/>
          <w:sz w:val="44"/>
          <w:szCs w:val="44"/>
          <w:highlight w:val="none"/>
        </w:rPr>
      </w:pPr>
    </w:p>
    <w:p>
      <w:pPr>
        <w:spacing w:line="680" w:lineRule="exact"/>
        <w:jc w:val="center"/>
        <w:rPr>
          <w:rFonts w:ascii="宋体"/>
          <w:sz w:val="32"/>
          <w:szCs w:val="32"/>
          <w:highlight w:val="none"/>
        </w:rPr>
      </w:pPr>
      <w:r>
        <w:rPr>
          <w:rFonts w:hint="eastAsia" w:ascii="宋体"/>
          <w:sz w:val="32"/>
          <w:szCs w:val="32"/>
          <w:highlight w:val="none"/>
        </w:rPr>
        <w:t xml:space="preserve">项目编号：恒卓采询（2023）003号 </w:t>
      </w:r>
    </w:p>
    <w:p>
      <w:pPr>
        <w:spacing w:line="680" w:lineRule="exact"/>
        <w:jc w:val="center"/>
        <w:rPr>
          <w:rFonts w:ascii="宋体"/>
          <w:sz w:val="44"/>
          <w:szCs w:val="44"/>
          <w:highlight w:val="none"/>
        </w:rPr>
      </w:pPr>
    </w:p>
    <w:p>
      <w:pPr>
        <w:spacing w:line="680" w:lineRule="exact"/>
        <w:jc w:val="center"/>
        <w:rPr>
          <w:rFonts w:ascii="宋体"/>
          <w:sz w:val="44"/>
          <w:szCs w:val="44"/>
          <w:highlight w:val="none"/>
        </w:rPr>
      </w:pPr>
    </w:p>
    <w:p>
      <w:pPr>
        <w:spacing w:line="680" w:lineRule="exact"/>
        <w:rPr>
          <w:rFonts w:ascii="宋体"/>
          <w:sz w:val="44"/>
          <w:szCs w:val="44"/>
          <w:highlight w:val="none"/>
        </w:rPr>
      </w:pPr>
    </w:p>
    <w:p>
      <w:pPr>
        <w:spacing w:line="480" w:lineRule="exact"/>
        <w:ind w:firstLine="750" w:firstLineChars="250"/>
        <w:rPr>
          <w:rFonts w:ascii="宋体"/>
          <w:sz w:val="30"/>
          <w:szCs w:val="30"/>
          <w:highlight w:val="none"/>
        </w:rPr>
      </w:pPr>
    </w:p>
    <w:p>
      <w:pPr>
        <w:spacing w:line="480" w:lineRule="exact"/>
        <w:rPr>
          <w:rFonts w:ascii="宋体"/>
          <w:sz w:val="36"/>
          <w:szCs w:val="36"/>
          <w:highlight w:val="none"/>
        </w:rPr>
      </w:pPr>
      <w:r>
        <w:rPr>
          <w:rFonts w:hint="eastAsia" w:ascii="宋体"/>
          <w:spacing w:val="10"/>
          <w:sz w:val="36"/>
          <w:szCs w:val="36"/>
          <w:highlight w:val="none"/>
        </w:rPr>
        <w:t>采</w:t>
      </w:r>
      <w:r>
        <w:rPr>
          <w:rFonts w:hint="eastAsia" w:ascii="宋体"/>
          <w:sz w:val="36"/>
          <w:szCs w:val="36"/>
          <w:highlight w:val="none"/>
        </w:rPr>
        <w:t xml:space="preserve">购单位：常州环保服务有限公司 </w:t>
      </w:r>
    </w:p>
    <w:p>
      <w:pPr>
        <w:spacing w:line="480" w:lineRule="exact"/>
        <w:rPr>
          <w:rFonts w:ascii="宋体"/>
          <w:sz w:val="36"/>
          <w:szCs w:val="36"/>
          <w:highlight w:val="none"/>
        </w:rPr>
      </w:pPr>
    </w:p>
    <w:p>
      <w:pPr>
        <w:spacing w:line="480" w:lineRule="exact"/>
        <w:rPr>
          <w:rFonts w:ascii="宋体"/>
          <w:sz w:val="36"/>
          <w:szCs w:val="36"/>
          <w:highlight w:val="none"/>
        </w:rPr>
      </w:pPr>
      <w:r>
        <w:rPr>
          <w:rFonts w:hint="eastAsia" w:ascii="宋体"/>
          <w:sz w:val="36"/>
          <w:szCs w:val="36"/>
          <w:highlight w:val="none"/>
        </w:rPr>
        <w:t>采购代理机构：常州市恒卓建设工程管理咨询有限公司</w:t>
      </w:r>
    </w:p>
    <w:p>
      <w:pPr>
        <w:jc w:val="center"/>
        <w:rPr>
          <w:rFonts w:ascii="宋体"/>
          <w:sz w:val="36"/>
          <w:szCs w:val="36"/>
          <w:highlight w:val="none"/>
        </w:rPr>
      </w:pPr>
    </w:p>
    <w:p>
      <w:pPr>
        <w:jc w:val="center"/>
        <w:rPr>
          <w:rFonts w:ascii="宋体"/>
          <w:sz w:val="44"/>
          <w:szCs w:val="44"/>
          <w:highlight w:val="none"/>
        </w:rPr>
      </w:pPr>
    </w:p>
    <w:p>
      <w:pPr>
        <w:jc w:val="center"/>
        <w:rPr>
          <w:rFonts w:ascii="宋体"/>
          <w:w w:val="90"/>
          <w:sz w:val="44"/>
          <w:szCs w:val="44"/>
          <w:highlight w:val="none"/>
        </w:rPr>
      </w:pPr>
      <w:r>
        <w:rPr>
          <w:rFonts w:hint="eastAsia" w:ascii="宋体"/>
          <w:w w:val="90"/>
          <w:sz w:val="44"/>
          <w:szCs w:val="44"/>
          <w:highlight w:val="none"/>
        </w:rPr>
        <w:t>二</w:t>
      </w:r>
      <w:r>
        <w:rPr>
          <w:rFonts w:hint="eastAsia" w:ascii="宋体" w:cs="宋体"/>
          <w:w w:val="90"/>
          <w:sz w:val="44"/>
          <w:szCs w:val="44"/>
          <w:highlight w:val="none"/>
        </w:rPr>
        <w:t>〇</w:t>
      </w:r>
      <w:r>
        <w:rPr>
          <w:rFonts w:hint="eastAsia" w:ascii="宋体"/>
          <w:w w:val="90"/>
          <w:sz w:val="44"/>
          <w:szCs w:val="44"/>
          <w:highlight w:val="none"/>
        </w:rPr>
        <w:t>二三年六月</w:t>
      </w:r>
    </w:p>
    <w:p>
      <w:pPr>
        <w:jc w:val="center"/>
        <w:rPr>
          <w:rFonts w:ascii="宋体"/>
          <w:b/>
          <w:bCs/>
          <w:sz w:val="24"/>
          <w:highlight w:val="none"/>
        </w:rPr>
      </w:pPr>
    </w:p>
    <w:p>
      <w:pPr>
        <w:spacing w:line="360" w:lineRule="auto"/>
        <w:jc w:val="center"/>
        <w:rPr>
          <w:rFonts w:ascii="宋体" w:hAnsi="宋体"/>
          <w:sz w:val="32"/>
          <w:szCs w:val="32"/>
          <w:highlight w:val="none"/>
        </w:rPr>
      </w:pPr>
      <w:r>
        <w:rPr>
          <w:rFonts w:hint="eastAsia" w:ascii="宋体"/>
          <w:b/>
          <w:bCs/>
          <w:sz w:val="32"/>
          <w:szCs w:val="32"/>
          <w:highlight w:val="none"/>
        </w:rPr>
        <w:t>常州市</w:t>
      </w:r>
      <w:r>
        <w:rPr>
          <w:rFonts w:ascii="宋体"/>
          <w:b/>
          <w:bCs/>
          <w:sz w:val="32"/>
          <w:szCs w:val="32"/>
          <w:highlight w:val="none"/>
        </w:rPr>
        <w:t>a</w:t>
      </w:r>
      <w:r>
        <w:rPr>
          <w:rFonts w:hint="eastAsia" w:ascii="宋体"/>
          <w:b/>
          <w:bCs/>
          <w:sz w:val="32"/>
          <w:szCs w:val="32"/>
          <w:highlight w:val="none"/>
        </w:rPr>
        <w:t>地块北区地下水加密调查钻探服务项目询价公告</w:t>
      </w:r>
    </w:p>
    <w:p>
      <w:pPr>
        <w:spacing w:line="440" w:lineRule="exact"/>
        <w:ind w:firstLine="420" w:firstLineChars="200"/>
        <w:rPr>
          <w:rFonts w:ascii="宋体" w:hAnsi="宋体"/>
          <w:highlight w:val="none"/>
        </w:rPr>
      </w:pPr>
      <w:r>
        <w:rPr>
          <w:rFonts w:hint="eastAsia" w:ascii="宋体" w:hAnsi="宋体" w:cs="宋体"/>
          <w:highlight w:val="none"/>
        </w:rPr>
        <w:t>受常州环保服务有限公司的委托，对其常州市a地块北区地下水加密调查钻探服务项目进行询价采购</w:t>
      </w:r>
      <w:r>
        <w:rPr>
          <w:rFonts w:hint="eastAsia" w:ascii="宋体" w:hAnsi="宋体"/>
          <w:highlight w:val="none"/>
        </w:rPr>
        <w:t>。特邀请符合条件的供应商参加。</w:t>
      </w:r>
    </w:p>
    <w:p>
      <w:pPr>
        <w:widowControl/>
        <w:snapToGrid w:val="0"/>
        <w:spacing w:line="440" w:lineRule="exact"/>
        <w:ind w:firstLine="420" w:firstLineChars="200"/>
        <w:jc w:val="left"/>
        <w:rPr>
          <w:rFonts w:ascii="宋体" w:hAnsi="宋体" w:cs="宋体"/>
          <w:kern w:val="0"/>
          <w:szCs w:val="21"/>
          <w:highlight w:val="none"/>
        </w:rPr>
      </w:pPr>
      <w:r>
        <w:rPr>
          <w:rFonts w:hint="eastAsia" w:ascii="宋体" w:hAnsi="宋体" w:cs="宋体"/>
          <w:kern w:val="0"/>
          <w:szCs w:val="21"/>
          <w:highlight w:val="none"/>
        </w:rPr>
        <w:t>一、采购项目内容及技术要求</w:t>
      </w:r>
    </w:p>
    <w:p>
      <w:pPr>
        <w:spacing w:line="440" w:lineRule="exact"/>
        <w:ind w:firstLine="420" w:firstLineChars="200"/>
        <w:rPr>
          <w:rFonts w:ascii="宋体" w:hAnsi="宋体" w:cs="宋体"/>
          <w:highlight w:val="none"/>
        </w:rPr>
      </w:pPr>
      <w:r>
        <w:rPr>
          <w:rFonts w:hint="eastAsia" w:ascii="宋体" w:hAnsi="宋体" w:cs="宋体"/>
          <w:highlight w:val="none"/>
        </w:rPr>
        <w:t>1、项目编号：恒卓采询（2023）003号</w:t>
      </w:r>
    </w:p>
    <w:p>
      <w:pPr>
        <w:spacing w:line="440" w:lineRule="exact"/>
        <w:ind w:firstLine="420" w:firstLineChars="200"/>
        <w:rPr>
          <w:rFonts w:ascii="宋体" w:hAnsi="宋体" w:cs="宋体"/>
          <w:highlight w:val="none"/>
        </w:rPr>
      </w:pPr>
      <w:r>
        <w:rPr>
          <w:rFonts w:hint="eastAsia" w:ascii="宋体" w:hAnsi="宋体" w:cs="宋体"/>
          <w:highlight w:val="none"/>
        </w:rPr>
        <w:t>2、项目名称：常州市a地块北区地下水加密调查钻探服务项目</w:t>
      </w:r>
    </w:p>
    <w:p>
      <w:pPr>
        <w:spacing w:line="440" w:lineRule="exact"/>
        <w:ind w:firstLine="420" w:firstLineChars="200"/>
        <w:rPr>
          <w:rFonts w:ascii="宋体" w:hAnsi="宋体" w:cs="宋体"/>
          <w:highlight w:val="none"/>
        </w:rPr>
      </w:pPr>
      <w:r>
        <w:rPr>
          <w:rFonts w:hint="eastAsia" w:ascii="宋体" w:hAnsi="宋体" w:cs="宋体"/>
          <w:highlight w:val="none"/>
        </w:rPr>
        <w:t>3、采购预算：100450元</w:t>
      </w:r>
    </w:p>
    <w:p>
      <w:pPr>
        <w:spacing w:line="440" w:lineRule="exact"/>
        <w:ind w:firstLine="420" w:firstLineChars="200"/>
        <w:rPr>
          <w:highlight w:val="none"/>
        </w:rPr>
      </w:pPr>
      <w:r>
        <w:rPr>
          <w:rFonts w:hint="eastAsia" w:ascii="宋体" w:hAnsi="宋体" w:cs="宋体"/>
          <w:highlight w:val="none"/>
        </w:rPr>
        <w:t>4、项目内容：本项目为常州市a地块北区地下水加密调查钻探服务项目，服务内容包括但不限于</w:t>
      </w:r>
      <w:r>
        <w:rPr>
          <w:highlight w:val="none"/>
        </w:rPr>
        <w:t>地下水监测井建设</w:t>
      </w:r>
      <w:r>
        <w:rPr>
          <w:rFonts w:hint="eastAsia"/>
          <w:highlight w:val="none"/>
        </w:rPr>
        <w:t>、</w:t>
      </w:r>
      <w:r>
        <w:rPr>
          <w:highlight w:val="none"/>
        </w:rPr>
        <w:t>井台建设及维护</w:t>
      </w:r>
      <w:r>
        <w:rPr>
          <w:rFonts w:hint="eastAsia"/>
          <w:highlight w:val="none"/>
        </w:rPr>
        <w:t>等相关内容。具体详见清单。</w:t>
      </w:r>
    </w:p>
    <w:p>
      <w:pPr>
        <w:spacing w:line="440" w:lineRule="exact"/>
        <w:ind w:firstLine="420" w:firstLineChars="200"/>
        <w:rPr>
          <w:rFonts w:ascii="宋体" w:hAnsi="宋体" w:cs="宋体"/>
          <w:highlight w:val="none"/>
        </w:rPr>
      </w:pPr>
      <w:r>
        <w:rPr>
          <w:rFonts w:hint="eastAsia" w:ascii="宋体" w:hAnsi="宋体" w:cs="宋体"/>
          <w:highlight w:val="none"/>
        </w:rPr>
        <w:t>5、服务期限：项目合同签订之日起至项目全部完成。</w:t>
      </w:r>
    </w:p>
    <w:p>
      <w:pPr>
        <w:numPr>
          <w:ilvl w:val="0"/>
          <w:numId w:val="1"/>
        </w:numPr>
        <w:spacing w:line="440" w:lineRule="exact"/>
        <w:ind w:firstLine="420" w:firstLineChars="200"/>
        <w:jc w:val="left"/>
        <w:rPr>
          <w:rFonts w:ascii="宋体" w:hAnsi="宋体"/>
          <w:szCs w:val="21"/>
          <w:highlight w:val="none"/>
        </w:rPr>
      </w:pPr>
      <w:r>
        <w:rPr>
          <w:rFonts w:hint="eastAsia" w:ascii="宋体" w:hAnsi="宋体"/>
          <w:szCs w:val="21"/>
          <w:highlight w:val="none"/>
        </w:rPr>
        <w:t>对供应商的基本要求：</w:t>
      </w:r>
    </w:p>
    <w:p>
      <w:pPr>
        <w:spacing w:line="440" w:lineRule="exact"/>
        <w:ind w:firstLine="420" w:firstLineChars="200"/>
        <w:jc w:val="left"/>
        <w:rPr>
          <w:rFonts w:ascii="宋体" w:hAnsi="宋体"/>
          <w:szCs w:val="21"/>
          <w:highlight w:val="none"/>
        </w:rPr>
      </w:pPr>
      <w:r>
        <w:rPr>
          <w:rFonts w:hint="eastAsia" w:ascii="宋体" w:hAnsi="宋体"/>
          <w:szCs w:val="21"/>
          <w:highlight w:val="none"/>
        </w:rPr>
        <w:t>1、具备《中华人民共和国政府采购法》第二十二条规定条件的法人；</w:t>
      </w:r>
    </w:p>
    <w:p>
      <w:pPr>
        <w:spacing w:line="440" w:lineRule="exact"/>
        <w:ind w:firstLine="420" w:firstLineChars="200"/>
        <w:rPr>
          <w:rFonts w:ascii="宋体" w:hAnsi="宋体" w:cs="宋体"/>
          <w:highlight w:val="none"/>
        </w:rPr>
      </w:pPr>
      <w:r>
        <w:rPr>
          <w:rFonts w:hint="eastAsia" w:ascii="宋体" w:hAnsi="宋体"/>
          <w:szCs w:val="21"/>
          <w:highlight w:val="none"/>
        </w:rPr>
        <w:t>2、单位负责人为同一人或者存在直接控股、管理关系的不同供应商，不得参加同一合同项下</w:t>
      </w:r>
      <w:r>
        <w:rPr>
          <w:rFonts w:hint="eastAsia" w:ascii="宋体" w:hAnsi="宋体" w:cs="宋体"/>
          <w:highlight w:val="none"/>
        </w:rPr>
        <w:t>的政府采购活动；</w:t>
      </w:r>
    </w:p>
    <w:p>
      <w:pPr>
        <w:spacing w:line="440" w:lineRule="exact"/>
        <w:ind w:firstLine="420" w:firstLineChars="200"/>
        <w:jc w:val="left"/>
        <w:rPr>
          <w:rFonts w:hint="eastAsia" w:ascii="宋体" w:hAnsi="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rPr>
        <w:t>企业营业执照副本复印件（</w:t>
      </w:r>
      <w:r>
        <w:rPr>
          <w:rFonts w:hint="eastAsia"/>
          <w:highlight w:val="none"/>
        </w:rPr>
        <w:t>营业执照经营范围含岩土工程勘察、水文地质勘察、岩土工程施工、工程测量勘察、建设工程勘察活动等相关内容</w:t>
      </w:r>
      <w:r>
        <w:rPr>
          <w:rFonts w:hint="eastAsia" w:ascii="宋体" w:hAnsi="宋体" w:cs="宋体"/>
          <w:szCs w:val="21"/>
          <w:highlight w:val="none"/>
        </w:rPr>
        <w:t>）</w:t>
      </w:r>
    </w:p>
    <w:p>
      <w:pPr>
        <w:spacing w:line="440" w:lineRule="exact"/>
        <w:ind w:firstLine="420" w:firstLineChars="200"/>
        <w:jc w:val="left"/>
        <w:rPr>
          <w:rFonts w:ascii="宋体" w:hAnsi="宋体"/>
          <w:szCs w:val="21"/>
          <w:highlight w:val="none"/>
        </w:rPr>
      </w:pPr>
      <w:r>
        <w:rPr>
          <w:rFonts w:hint="eastAsia" w:ascii="宋体" w:hAnsi="宋体"/>
          <w:szCs w:val="21"/>
          <w:highlight w:val="none"/>
          <w:lang w:val="en-US" w:eastAsia="zh-CN"/>
        </w:rPr>
        <w:t>4</w:t>
      </w:r>
      <w:r>
        <w:rPr>
          <w:rFonts w:hint="eastAsia" w:ascii="宋体" w:hAnsi="宋体"/>
          <w:szCs w:val="21"/>
          <w:highlight w:val="none"/>
        </w:rPr>
        <w:t>、采购人根据采购项目的特殊要求规定的特定条件：</w:t>
      </w:r>
    </w:p>
    <w:p>
      <w:pPr>
        <w:spacing w:line="440" w:lineRule="exact"/>
        <w:ind w:firstLine="420" w:firstLineChars="200"/>
        <w:jc w:val="left"/>
        <w:rPr>
          <w:rFonts w:ascii="宋体" w:hAnsi="宋体"/>
          <w:szCs w:val="21"/>
          <w:highlight w:val="none"/>
        </w:rPr>
      </w:pPr>
      <w:r>
        <w:rPr>
          <w:rFonts w:hint="eastAsia" w:ascii="宋体" w:hAnsi="宋体"/>
          <w:szCs w:val="21"/>
          <w:highlight w:val="none"/>
        </w:rPr>
        <w:t>（1）投标人须提供至少2份同类项目业绩（重点行业场地调查钻探类项目，提供合同复印件）；</w:t>
      </w:r>
    </w:p>
    <w:p>
      <w:pPr>
        <w:spacing w:line="440" w:lineRule="exact"/>
        <w:ind w:firstLine="420" w:firstLineChars="200"/>
        <w:jc w:val="left"/>
        <w:rPr>
          <w:rFonts w:ascii="宋体" w:hAnsi="宋体"/>
          <w:szCs w:val="21"/>
          <w:highlight w:val="none"/>
        </w:rPr>
      </w:pPr>
      <w:r>
        <w:rPr>
          <w:rFonts w:hint="eastAsia" w:ascii="宋体" w:hAnsi="宋体"/>
          <w:szCs w:val="21"/>
          <w:highlight w:val="none"/>
        </w:rPr>
        <w:t>（2）投标人具有至少2台相关钻探设备，并提供设备购买发票复印件；</w:t>
      </w:r>
    </w:p>
    <w:p>
      <w:pPr>
        <w:spacing w:line="440" w:lineRule="exact"/>
        <w:ind w:firstLine="420" w:firstLineChars="200"/>
        <w:jc w:val="left"/>
        <w:rPr>
          <w:rFonts w:ascii="宋体" w:hAnsi="宋体"/>
          <w:szCs w:val="21"/>
          <w:highlight w:val="none"/>
        </w:rPr>
      </w:pPr>
      <w:r>
        <w:rPr>
          <w:rFonts w:hint="eastAsia" w:ascii="宋体" w:hAnsi="宋体"/>
          <w:szCs w:val="21"/>
          <w:highlight w:val="none"/>
        </w:rPr>
        <w:t>（2）未被“信用中国”网站（www.creditchina.gov.cn）列入失信被执行人、重大税收违法案件当事人名单、政府采购严重失信行为记录名单。</w:t>
      </w:r>
    </w:p>
    <w:p>
      <w:pPr>
        <w:spacing w:line="440" w:lineRule="exact"/>
        <w:ind w:firstLine="422" w:firstLineChars="200"/>
        <w:jc w:val="left"/>
        <w:rPr>
          <w:rFonts w:ascii="宋体" w:hAnsi="宋体"/>
          <w:b/>
          <w:bCs/>
          <w:szCs w:val="21"/>
          <w:highlight w:val="none"/>
        </w:rPr>
      </w:pPr>
      <w:r>
        <w:rPr>
          <w:rFonts w:hint="eastAsia" w:ascii="宋体" w:hAnsi="宋体"/>
          <w:b/>
          <w:bCs/>
          <w:szCs w:val="21"/>
          <w:highlight w:val="none"/>
          <w:lang w:val="en-US" w:eastAsia="zh-CN"/>
        </w:rPr>
        <w:t>5</w:t>
      </w:r>
      <w:r>
        <w:rPr>
          <w:rFonts w:hint="eastAsia" w:ascii="宋体" w:hAnsi="宋体"/>
          <w:b/>
          <w:bCs/>
          <w:szCs w:val="21"/>
          <w:highlight w:val="none"/>
        </w:rPr>
        <w:t>、本项目不接受联合体投标。</w:t>
      </w:r>
    </w:p>
    <w:p>
      <w:pPr>
        <w:spacing w:line="440" w:lineRule="exact"/>
        <w:ind w:firstLine="420" w:firstLineChars="200"/>
        <w:jc w:val="left"/>
        <w:rPr>
          <w:rFonts w:ascii="宋体" w:hAnsi="宋体"/>
          <w:szCs w:val="21"/>
          <w:highlight w:val="none"/>
        </w:rPr>
      </w:pPr>
      <w:r>
        <w:rPr>
          <w:rFonts w:hint="eastAsia" w:ascii="宋体" w:hAnsi="宋体"/>
          <w:szCs w:val="21"/>
          <w:highlight w:val="none"/>
        </w:rPr>
        <w:t>三、获取询价文件的时间和办法</w:t>
      </w:r>
    </w:p>
    <w:p>
      <w:pPr>
        <w:spacing w:line="440" w:lineRule="exact"/>
        <w:ind w:firstLine="420" w:firstLineChars="200"/>
        <w:rPr>
          <w:rFonts w:ascii="宋体" w:hAnsi="宋体"/>
          <w:bCs/>
          <w:color w:val="FF0000"/>
          <w:kern w:val="0"/>
          <w:szCs w:val="21"/>
          <w:highlight w:val="none"/>
        </w:rPr>
      </w:pPr>
      <w:r>
        <w:rPr>
          <w:rFonts w:hint="eastAsia" w:ascii="宋体" w:hAnsi="宋体"/>
          <w:szCs w:val="21"/>
          <w:highlight w:val="none"/>
        </w:rPr>
        <w:t>1、询价文件获取时间：</w:t>
      </w:r>
      <w:r>
        <w:rPr>
          <w:rFonts w:hint="eastAsia" w:ascii="宋体" w:hAnsi="宋体"/>
          <w:b/>
          <w:kern w:val="0"/>
          <w:szCs w:val="21"/>
          <w:highlight w:val="none"/>
        </w:rPr>
        <w:t>2023年06月27日起</w:t>
      </w:r>
    </w:p>
    <w:p>
      <w:pPr>
        <w:spacing w:line="440" w:lineRule="exact"/>
        <w:ind w:firstLine="422" w:firstLineChars="200"/>
        <w:jc w:val="left"/>
        <w:rPr>
          <w:rFonts w:ascii="宋体" w:hAnsi="宋体"/>
          <w:b/>
          <w:bCs/>
          <w:szCs w:val="21"/>
          <w:highlight w:val="none"/>
        </w:rPr>
      </w:pPr>
      <w:r>
        <w:rPr>
          <w:rFonts w:hint="eastAsia" w:ascii="宋体" w:hAnsi="宋体"/>
          <w:b/>
          <w:bCs/>
          <w:szCs w:val="21"/>
          <w:highlight w:val="none"/>
        </w:rPr>
        <w:t>2、询价文件售价：人民币叁佰圆整（开标现场缴纳）</w:t>
      </w:r>
    </w:p>
    <w:p>
      <w:pPr>
        <w:spacing w:line="440" w:lineRule="exact"/>
        <w:ind w:firstLine="420" w:firstLineChars="200"/>
        <w:rPr>
          <w:rFonts w:ascii="宋体" w:hAnsi="宋体"/>
          <w:szCs w:val="21"/>
          <w:highlight w:val="none"/>
        </w:rPr>
      </w:pPr>
      <w:r>
        <w:rPr>
          <w:rFonts w:hint="eastAsia" w:ascii="宋体" w:hAnsi="宋体"/>
          <w:kern w:val="0"/>
          <w:szCs w:val="21"/>
          <w:highlight w:val="none"/>
        </w:rPr>
        <w:t>3、获取询价文件办法：</w:t>
      </w:r>
      <w:r>
        <w:rPr>
          <w:rFonts w:hint="eastAsia" w:ascii="宋体" w:hAnsi="宋体"/>
          <w:b/>
          <w:kern w:val="0"/>
          <w:szCs w:val="21"/>
          <w:highlight w:val="none"/>
        </w:rPr>
        <w:t>各供应商自行下载，并按要求编制询价响应文件</w:t>
      </w:r>
    </w:p>
    <w:p>
      <w:pPr>
        <w:spacing w:line="440" w:lineRule="exact"/>
        <w:ind w:firstLine="420" w:firstLineChars="200"/>
        <w:rPr>
          <w:rFonts w:ascii="宋体" w:hAnsi="宋体"/>
          <w:szCs w:val="21"/>
          <w:highlight w:val="none"/>
        </w:rPr>
      </w:pPr>
      <w:r>
        <w:rPr>
          <w:rFonts w:hint="eastAsia" w:ascii="宋体" w:hAnsi="宋体"/>
          <w:szCs w:val="21"/>
          <w:highlight w:val="none"/>
        </w:rPr>
        <w:t>四、现场踏勘：自行踏勘    联系人及电话：  朱先生   15705186903</w:t>
      </w:r>
    </w:p>
    <w:p>
      <w:pPr>
        <w:numPr>
          <w:ilvl w:val="0"/>
          <w:numId w:val="2"/>
        </w:numPr>
        <w:spacing w:line="440" w:lineRule="exact"/>
        <w:ind w:firstLine="420" w:firstLineChars="200"/>
        <w:rPr>
          <w:rFonts w:ascii="宋体" w:hAnsi="宋体" w:cs="宋体"/>
          <w:highlight w:val="none"/>
        </w:rPr>
      </w:pPr>
      <w:r>
        <w:rPr>
          <w:rFonts w:hint="eastAsia" w:ascii="宋体" w:hAnsi="宋体"/>
          <w:szCs w:val="21"/>
          <w:highlight w:val="none"/>
        </w:rPr>
        <w:t xml:space="preserve">参加询价的供应商若认为询价函的资格要求和技术要求有倾向性或不公正性，可在 </w:t>
      </w:r>
      <w:r>
        <w:rPr>
          <w:rFonts w:hint="eastAsia" w:ascii="宋体" w:hAnsi="宋体"/>
          <w:b/>
          <w:szCs w:val="21"/>
          <w:highlight w:val="none"/>
        </w:rPr>
        <w:t>2023年06月30日上午11：30</w:t>
      </w:r>
      <w:r>
        <w:rPr>
          <w:rFonts w:hint="eastAsia" w:ascii="宋体" w:hAnsi="宋体"/>
          <w:szCs w:val="21"/>
          <w:highlight w:val="none"/>
        </w:rPr>
        <w:t>之前以书面形式或邮件形式</w:t>
      </w:r>
      <w:r>
        <w:rPr>
          <w:rFonts w:hint="eastAsia" w:ascii="宋体" w:hAnsi="宋体"/>
          <w:b/>
          <w:bCs/>
          <w:szCs w:val="21"/>
          <w:highlight w:val="none"/>
        </w:rPr>
        <w:t>（994093050@qq.com）</w:t>
      </w:r>
      <w:r>
        <w:rPr>
          <w:rFonts w:hint="eastAsia" w:ascii="宋体" w:hAnsi="宋体"/>
          <w:szCs w:val="21"/>
          <w:highlight w:val="none"/>
        </w:rPr>
        <w:t>向我公司提出。对于没有提出澄清要求又参与了该项目的供应商将被视为完全认同该询价函，询价响应文件递交截止期后不再受理针对询价函的相关质疑和投诉。</w:t>
      </w:r>
    </w:p>
    <w:p>
      <w:pPr>
        <w:spacing w:line="440" w:lineRule="exact"/>
        <w:ind w:left="420" w:leftChars="200"/>
        <w:rPr>
          <w:rFonts w:ascii="宋体" w:hAnsi="宋体" w:cs="宋体"/>
          <w:b/>
          <w:bCs/>
          <w:highlight w:val="none"/>
        </w:rPr>
      </w:pPr>
      <w:r>
        <w:rPr>
          <w:rFonts w:hint="eastAsia" w:ascii="宋体" w:hAnsi="宋体"/>
          <w:szCs w:val="21"/>
          <w:highlight w:val="none"/>
        </w:rPr>
        <w:t>六、开标时间：</w:t>
      </w:r>
      <w:r>
        <w:rPr>
          <w:rFonts w:hint="eastAsia" w:ascii="宋体" w:hAnsi="宋体" w:cs="宋体"/>
          <w:b/>
          <w:bCs/>
          <w:highlight w:val="none"/>
        </w:rPr>
        <w:t>2023年06月30日下午14：30</w:t>
      </w:r>
    </w:p>
    <w:p>
      <w:pPr>
        <w:spacing w:line="440" w:lineRule="exact"/>
        <w:ind w:left="420" w:leftChars="200"/>
        <w:rPr>
          <w:rFonts w:ascii="宋体" w:hAnsi="宋体"/>
          <w:szCs w:val="21"/>
          <w:highlight w:val="none"/>
        </w:rPr>
      </w:pPr>
      <w:r>
        <w:rPr>
          <w:rFonts w:hint="eastAsia" w:ascii="宋体" w:hAnsi="宋体"/>
          <w:szCs w:val="21"/>
          <w:highlight w:val="none"/>
        </w:rPr>
        <w:t>七、询价地点：常州市北塘河路8号恒生科技园44-2栋3楼（一号大门往北一百米）　</w:t>
      </w:r>
    </w:p>
    <w:p>
      <w:pPr>
        <w:spacing w:line="440" w:lineRule="exact"/>
        <w:ind w:firstLine="420" w:firstLineChars="200"/>
        <w:rPr>
          <w:rFonts w:ascii="宋体" w:hAnsi="宋体"/>
          <w:szCs w:val="21"/>
          <w:highlight w:val="none"/>
        </w:rPr>
      </w:pPr>
      <w:r>
        <w:rPr>
          <w:rFonts w:hint="eastAsia" w:ascii="宋体" w:hAnsi="宋体"/>
          <w:szCs w:val="21"/>
          <w:highlight w:val="none"/>
        </w:rPr>
        <w:t>八、询价文件售后一概不退。供应商递交的询价文件概不退还。</w:t>
      </w:r>
    </w:p>
    <w:p>
      <w:pPr>
        <w:spacing w:line="440" w:lineRule="exact"/>
        <w:ind w:firstLine="420" w:firstLineChars="200"/>
        <w:rPr>
          <w:rFonts w:ascii="宋体" w:hAnsi="宋体"/>
          <w:szCs w:val="21"/>
          <w:highlight w:val="none"/>
        </w:rPr>
      </w:pPr>
      <w:r>
        <w:rPr>
          <w:rFonts w:hint="eastAsia" w:ascii="宋体" w:hAnsi="宋体"/>
          <w:szCs w:val="21"/>
          <w:highlight w:val="none"/>
        </w:rPr>
        <w:t>九、联系方式</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联系人：曹工                            联系电话：</w:t>
      </w:r>
      <w:r>
        <w:rPr>
          <w:rFonts w:hint="eastAsia" w:ascii="宋体" w:hAnsi="宋体" w:cs="宋体"/>
          <w:color w:val="000000"/>
          <w:kern w:val="0"/>
          <w:szCs w:val="21"/>
          <w:highlight w:val="none"/>
          <w:shd w:val="clear" w:color="auto" w:fill="FFFFFF"/>
          <w:lang w:bidi="ar"/>
        </w:rPr>
        <w:t>0519-83999268</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联系地址：常州市恒卓建设工程管理咨询有限公司综合办</w:t>
      </w:r>
    </w:p>
    <w:p>
      <w:pPr>
        <w:spacing w:line="440" w:lineRule="exact"/>
        <w:ind w:firstLine="420" w:firstLineChars="200"/>
        <w:rPr>
          <w:rFonts w:ascii="宋体" w:hAnsi="宋体"/>
          <w:szCs w:val="21"/>
          <w:highlight w:val="none"/>
        </w:rPr>
      </w:pPr>
      <w:r>
        <w:rPr>
          <w:rFonts w:hint="eastAsia" w:ascii="宋体" w:hAnsi="宋体" w:cs="宋体"/>
          <w:szCs w:val="21"/>
          <w:highlight w:val="none"/>
        </w:rPr>
        <w:t>网    址：http://www.czhzzb.com         邮    箱：czhzzb@126.com</w:t>
      </w:r>
    </w:p>
    <w:p>
      <w:pPr>
        <w:spacing w:line="440" w:lineRule="exact"/>
        <w:ind w:right="360" w:firstLine="420" w:firstLineChars="200"/>
        <w:jc w:val="left"/>
        <w:rPr>
          <w:rFonts w:ascii="宋体" w:hAnsi="宋体"/>
          <w:szCs w:val="21"/>
          <w:highlight w:val="none"/>
        </w:rPr>
      </w:pPr>
    </w:p>
    <w:p>
      <w:pPr>
        <w:spacing w:line="440" w:lineRule="exact"/>
        <w:ind w:right="360"/>
        <w:jc w:val="right"/>
        <w:rPr>
          <w:rFonts w:ascii="宋体" w:hAnsi="宋体"/>
          <w:szCs w:val="21"/>
          <w:highlight w:val="none"/>
        </w:rPr>
      </w:pPr>
      <w:r>
        <w:rPr>
          <w:rFonts w:hint="eastAsia" w:ascii="宋体" w:hAnsi="宋体"/>
          <w:szCs w:val="21"/>
          <w:highlight w:val="none"/>
        </w:rPr>
        <w:t>常州市恒卓建设工程管理咨询有限公司</w:t>
      </w:r>
    </w:p>
    <w:p>
      <w:pPr>
        <w:spacing w:line="440" w:lineRule="exact"/>
        <w:ind w:right="360"/>
        <w:jc w:val="right"/>
        <w:rPr>
          <w:rFonts w:ascii="宋体" w:hAnsi="宋体"/>
          <w:szCs w:val="21"/>
          <w:highlight w:val="none"/>
        </w:rPr>
      </w:pPr>
    </w:p>
    <w:p>
      <w:pPr>
        <w:spacing w:line="440" w:lineRule="exact"/>
        <w:ind w:right="360"/>
        <w:jc w:val="right"/>
        <w:rPr>
          <w:rFonts w:ascii="宋体" w:hAnsi="宋体"/>
          <w:szCs w:val="21"/>
          <w:highlight w:val="none"/>
        </w:rPr>
      </w:pPr>
      <w:r>
        <w:rPr>
          <w:rFonts w:hint="eastAsia" w:ascii="宋体" w:hAnsi="宋体"/>
          <w:szCs w:val="21"/>
          <w:highlight w:val="none"/>
        </w:rPr>
        <w:t>2023年06月27日</w:t>
      </w:r>
    </w:p>
    <w:p>
      <w:pPr>
        <w:pStyle w:val="10"/>
        <w:spacing w:line="440" w:lineRule="exact"/>
        <w:ind w:firstLine="422" w:firstLineChars="200"/>
        <w:jc w:val="center"/>
        <w:rPr>
          <w:b/>
          <w:bCs/>
          <w:highlight w:val="none"/>
        </w:rPr>
      </w:pPr>
    </w:p>
    <w:p>
      <w:pPr>
        <w:pStyle w:val="10"/>
        <w:spacing w:line="380" w:lineRule="exact"/>
        <w:ind w:firstLine="422" w:firstLineChars="200"/>
        <w:jc w:val="center"/>
        <w:rPr>
          <w:b/>
          <w:bCs/>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5"/>
        <w:rPr>
          <w:b/>
          <w:bCs/>
          <w:sz w:val="32"/>
          <w:szCs w:val="32"/>
          <w:highlight w:val="none"/>
        </w:rPr>
      </w:pPr>
    </w:p>
    <w:p>
      <w:pPr>
        <w:rPr>
          <w:b/>
          <w:bCs/>
          <w:sz w:val="32"/>
          <w:szCs w:val="32"/>
          <w:highlight w:val="none"/>
        </w:rPr>
      </w:pPr>
    </w:p>
    <w:p>
      <w:pPr>
        <w:pStyle w:val="4"/>
        <w:rPr>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b/>
          <w:bCs/>
          <w:sz w:val="32"/>
          <w:szCs w:val="32"/>
          <w:highlight w:val="none"/>
        </w:rPr>
      </w:pPr>
    </w:p>
    <w:p>
      <w:pPr>
        <w:pStyle w:val="10"/>
        <w:spacing w:line="380" w:lineRule="exact"/>
        <w:jc w:val="center"/>
        <w:rPr>
          <w:rFonts w:hAnsi="宋体" w:cs="宋体"/>
          <w:highlight w:val="none"/>
        </w:rPr>
      </w:pPr>
      <w:bookmarkStart w:id="52" w:name="_GoBack"/>
      <w:bookmarkEnd w:id="52"/>
      <w:r>
        <w:rPr>
          <w:rFonts w:hint="eastAsia"/>
          <w:b/>
          <w:bCs/>
          <w:sz w:val="32"/>
          <w:szCs w:val="32"/>
          <w:highlight w:val="none"/>
        </w:rPr>
        <w:t>询价文件</w:t>
      </w:r>
    </w:p>
    <w:p>
      <w:pPr>
        <w:spacing w:line="420" w:lineRule="exact"/>
        <w:ind w:firstLine="420" w:firstLineChars="200"/>
        <w:rPr>
          <w:rFonts w:ascii="宋体" w:hAnsi="宋体" w:cs="宋体"/>
          <w:szCs w:val="21"/>
          <w:highlight w:val="none"/>
        </w:rPr>
      </w:pPr>
      <w:r>
        <w:rPr>
          <w:rFonts w:hint="eastAsia" w:ascii="宋体" w:hAnsi="宋体" w:cs="宋体"/>
          <w:szCs w:val="21"/>
          <w:highlight w:val="none"/>
        </w:rPr>
        <w:t>受常州环保服务有限公司的委托，对其公司的常州市a地块北区地下水加密调查钻探服务项目进行询价采购。特邀请符合条件的供应商参加。</w:t>
      </w:r>
    </w:p>
    <w:p>
      <w:pPr>
        <w:widowControl/>
        <w:snapToGrid w:val="0"/>
        <w:spacing w:line="420" w:lineRule="exact"/>
        <w:jc w:val="left"/>
        <w:rPr>
          <w:rFonts w:ascii="宋体" w:hAnsi="宋体" w:cs="宋体"/>
          <w:kern w:val="0"/>
          <w:szCs w:val="21"/>
          <w:highlight w:val="none"/>
        </w:rPr>
      </w:pPr>
      <w:r>
        <w:rPr>
          <w:rFonts w:hint="eastAsia" w:ascii="宋体" w:hAnsi="宋体" w:cs="宋体"/>
          <w:kern w:val="0"/>
          <w:szCs w:val="21"/>
          <w:highlight w:val="none"/>
        </w:rPr>
        <w:t>一、采购项目内容及技术要求</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项目编号：恒卓采询（2023）003号</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项目名称：常州市a地块北区地下水加密调查钻探服务项目</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采购预算：100450元</w:t>
      </w:r>
    </w:p>
    <w:p>
      <w:pPr>
        <w:widowControl/>
        <w:snapToGrid w:val="0"/>
        <w:spacing w:line="420" w:lineRule="exact"/>
        <w:jc w:val="left"/>
        <w:rPr>
          <w:rFonts w:ascii="宋体" w:hAnsi="宋体" w:cs="宋体"/>
          <w:kern w:val="0"/>
          <w:szCs w:val="21"/>
          <w:highlight w:val="none"/>
        </w:rPr>
      </w:pPr>
      <w:r>
        <w:rPr>
          <w:rFonts w:hint="eastAsia" w:ascii="宋体" w:hAnsi="宋体" w:cs="宋体"/>
          <w:kern w:val="0"/>
          <w:szCs w:val="21"/>
          <w:highlight w:val="none"/>
        </w:rPr>
        <w:t>二、资格条件</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1、具备《中华人民共和国政府采购法》第二十二条规定条件的法人；</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2、单位负责人为同一人或者存在直接控股、管理关系的不同供应商，不得参加同一合同项下的政府采购活动；</w:t>
      </w:r>
    </w:p>
    <w:p>
      <w:pPr>
        <w:spacing w:line="420" w:lineRule="exact"/>
        <w:ind w:firstLine="420" w:firstLineChars="200"/>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rPr>
        <w:t>企业营业执照副本复印件（</w:t>
      </w:r>
      <w:r>
        <w:rPr>
          <w:rFonts w:hint="eastAsia"/>
          <w:highlight w:val="none"/>
        </w:rPr>
        <w:t>营业执照经营范围含岩土工程勘察、水文地质勘察、岩土工程施工、工程测量勘察、建设工程勘察活动等相关内容</w:t>
      </w:r>
      <w:r>
        <w:rPr>
          <w:rFonts w:hint="eastAsia" w:ascii="宋体" w:hAnsi="宋体" w:cs="宋体"/>
          <w:szCs w:val="21"/>
          <w:highlight w:val="none"/>
        </w:rPr>
        <w:t>）</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、采购人根据采购项目的特殊要求规定的特定条件：</w:t>
      </w:r>
    </w:p>
    <w:p>
      <w:pPr>
        <w:spacing w:line="440" w:lineRule="exact"/>
        <w:ind w:firstLine="420" w:firstLineChars="200"/>
        <w:jc w:val="left"/>
        <w:rPr>
          <w:rFonts w:ascii="宋体" w:hAnsi="宋体"/>
          <w:szCs w:val="21"/>
          <w:highlight w:val="none"/>
        </w:rPr>
      </w:pPr>
      <w:r>
        <w:rPr>
          <w:rFonts w:hint="eastAsia" w:ascii="宋体" w:hAnsi="宋体"/>
          <w:szCs w:val="21"/>
          <w:highlight w:val="none"/>
        </w:rPr>
        <w:t>（1）投标人须提供至少2份同类项目业绩（重点行业场地调查钻探类项目，提供合同复印件）；</w:t>
      </w:r>
    </w:p>
    <w:p>
      <w:pPr>
        <w:spacing w:line="440" w:lineRule="exact"/>
        <w:ind w:firstLine="420" w:firstLineChars="200"/>
        <w:jc w:val="left"/>
        <w:rPr>
          <w:rFonts w:ascii="宋体" w:hAnsi="宋体"/>
          <w:szCs w:val="21"/>
          <w:highlight w:val="none"/>
        </w:rPr>
      </w:pPr>
      <w:r>
        <w:rPr>
          <w:rFonts w:hint="eastAsia" w:ascii="宋体" w:hAnsi="宋体"/>
          <w:szCs w:val="21"/>
          <w:highlight w:val="none"/>
        </w:rPr>
        <w:t>（2）投标人具有至少2台相关钻探设备，并提供设备购买发票复印件；</w:t>
      </w:r>
    </w:p>
    <w:p>
      <w:pPr>
        <w:spacing w:line="440" w:lineRule="exact"/>
        <w:ind w:firstLine="420" w:firstLineChars="200"/>
        <w:jc w:val="left"/>
        <w:rPr>
          <w:rFonts w:ascii="宋体" w:hAnsi="宋体"/>
          <w:szCs w:val="21"/>
          <w:highlight w:val="none"/>
        </w:rPr>
      </w:pPr>
      <w:r>
        <w:rPr>
          <w:rFonts w:hint="eastAsia" w:ascii="宋体" w:hAnsi="宋体"/>
          <w:szCs w:val="21"/>
          <w:highlight w:val="none"/>
        </w:rPr>
        <w:t>（3）未被“信用中国”网站（www.creditchina.gov.cn）列入失信被执行人、重大税收违法案件当事人名单、政府采购严重失信行为记录名单。</w:t>
      </w:r>
    </w:p>
    <w:p>
      <w:pPr>
        <w:spacing w:line="420" w:lineRule="exact"/>
        <w:ind w:firstLine="422" w:firstLineChars="200"/>
        <w:jc w:val="left"/>
        <w:rPr>
          <w:rFonts w:ascii="宋体" w:hAnsi="宋体" w:cs="宋体"/>
          <w:b/>
          <w:bCs/>
          <w:szCs w:val="21"/>
          <w:highlight w:val="none"/>
        </w:rPr>
      </w:pPr>
      <w:r>
        <w:rPr>
          <w:rFonts w:hint="eastAsia" w:ascii="宋体" w:hAnsi="宋体" w:cs="宋体"/>
          <w:b/>
          <w:bCs/>
          <w:szCs w:val="21"/>
          <w:highlight w:val="none"/>
          <w:lang w:val="en-US" w:eastAsia="zh-CN"/>
        </w:rPr>
        <w:t>5</w:t>
      </w:r>
      <w:r>
        <w:rPr>
          <w:rFonts w:hint="eastAsia" w:ascii="宋体" w:hAnsi="宋体" w:cs="宋体"/>
          <w:b/>
          <w:bCs/>
          <w:szCs w:val="21"/>
          <w:highlight w:val="none"/>
        </w:rPr>
        <w:t>、本项目不接受联合体投标</w:t>
      </w:r>
    </w:p>
    <w:p>
      <w:pPr>
        <w:spacing w:line="420" w:lineRule="exact"/>
        <w:jc w:val="left"/>
        <w:rPr>
          <w:rFonts w:ascii="宋体" w:hAnsi="宋体" w:cs="宋体"/>
          <w:szCs w:val="21"/>
          <w:highlight w:val="none"/>
        </w:rPr>
      </w:pPr>
      <w:r>
        <w:rPr>
          <w:rFonts w:hint="eastAsia" w:ascii="宋体" w:hAnsi="宋体" w:cs="宋体"/>
          <w:szCs w:val="21"/>
          <w:highlight w:val="none"/>
        </w:rPr>
        <w:t>三、询价响应文件的组成及要求</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（一）文件组成：</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（1）商务部分</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1、投标函</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val="zh-CN"/>
        </w:rPr>
        <w:t>承诺函</w:t>
      </w:r>
    </w:p>
    <w:p>
      <w:pPr>
        <w:spacing w:line="420" w:lineRule="exact"/>
        <w:ind w:firstLine="420" w:firstLineChars="200"/>
        <w:jc w:val="left"/>
        <w:rPr>
          <w:rFonts w:ascii="宋体" w:hAnsi="宋体" w:cs="宋体"/>
          <w:szCs w:val="21"/>
          <w:highlight w:val="none"/>
          <w:lang w:val="zh-CN"/>
        </w:rPr>
      </w:pPr>
      <w:r>
        <w:rPr>
          <w:rFonts w:hint="eastAsia" w:ascii="宋体" w:hAnsi="宋体" w:cs="宋体"/>
          <w:szCs w:val="21"/>
          <w:highlight w:val="none"/>
        </w:rPr>
        <w:t>3、法定代表人身份证明复印件；授权委托书、代理人身份证复印件（如果有授权委托情况的，必须提供）（后附法定代表人授权委托书格式）</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4、企业营业执照副本复印件（</w:t>
      </w:r>
      <w:r>
        <w:rPr>
          <w:rFonts w:hint="eastAsia"/>
          <w:highlight w:val="none"/>
        </w:rPr>
        <w:t>营业执照经营范围含岩土工程勘察、水文地质勘察、岩土工程施工、工程测量勘察、建设工程勘察活动等相关内容</w:t>
      </w:r>
      <w:r>
        <w:rPr>
          <w:rFonts w:hint="eastAsia" w:ascii="宋体" w:hAnsi="宋体" w:cs="宋体"/>
          <w:szCs w:val="21"/>
          <w:highlight w:val="none"/>
        </w:rPr>
        <w:t>）；</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5、采购人根据采购项目的特殊要求规定的特定条件的证明文件；</w:t>
      </w:r>
    </w:p>
    <w:p>
      <w:pPr>
        <w:spacing w:line="440" w:lineRule="exact"/>
        <w:ind w:firstLine="420" w:firstLineChars="200"/>
        <w:jc w:val="left"/>
        <w:rPr>
          <w:rFonts w:ascii="宋体" w:hAnsi="宋体"/>
          <w:szCs w:val="21"/>
          <w:highlight w:val="none"/>
        </w:rPr>
      </w:pPr>
      <w:r>
        <w:rPr>
          <w:rFonts w:ascii="Calibri" w:hAnsi="Calibri" w:cs="Calibri"/>
          <w:szCs w:val="21"/>
          <w:highlight w:val="none"/>
        </w:rPr>
        <w:t>①</w:t>
      </w:r>
      <w:r>
        <w:rPr>
          <w:rFonts w:hint="eastAsia" w:ascii="宋体" w:hAnsi="宋体"/>
          <w:szCs w:val="21"/>
          <w:highlight w:val="none"/>
        </w:rPr>
        <w:t>投标人须提供至少2份同类项目业绩（重点行业场地调查钻探类项目，提供合同复印件）；</w:t>
      </w:r>
    </w:p>
    <w:p>
      <w:pPr>
        <w:spacing w:line="440" w:lineRule="exact"/>
        <w:ind w:firstLine="420" w:firstLineChars="200"/>
        <w:jc w:val="left"/>
        <w:rPr>
          <w:rFonts w:ascii="宋体" w:hAnsi="宋体"/>
          <w:szCs w:val="21"/>
          <w:highlight w:val="none"/>
        </w:rPr>
      </w:pPr>
      <w:r>
        <w:rPr>
          <w:rFonts w:ascii="Calibri" w:hAnsi="Calibri" w:cs="Calibri"/>
          <w:szCs w:val="21"/>
          <w:highlight w:val="none"/>
        </w:rPr>
        <w:t>②</w:t>
      </w:r>
      <w:r>
        <w:rPr>
          <w:rFonts w:hint="eastAsia" w:ascii="宋体" w:hAnsi="宋体"/>
          <w:szCs w:val="21"/>
          <w:highlight w:val="none"/>
        </w:rPr>
        <w:t>投标人具有至少2台相关钻探设备，并提供设备购买发票复印件；</w:t>
      </w:r>
    </w:p>
    <w:p>
      <w:pPr>
        <w:spacing w:line="440" w:lineRule="exact"/>
        <w:ind w:firstLine="420" w:firstLineChars="200"/>
        <w:jc w:val="left"/>
        <w:rPr>
          <w:rFonts w:ascii="宋体" w:hAnsi="宋体"/>
          <w:szCs w:val="21"/>
          <w:highlight w:val="none"/>
        </w:rPr>
      </w:pPr>
      <w:r>
        <w:rPr>
          <w:rFonts w:ascii="Calibri" w:hAnsi="Calibri" w:cs="Calibri"/>
          <w:szCs w:val="21"/>
          <w:highlight w:val="none"/>
        </w:rPr>
        <w:t>③</w:t>
      </w:r>
      <w:r>
        <w:rPr>
          <w:rFonts w:hint="eastAsia" w:ascii="宋体" w:hAnsi="宋体"/>
          <w:szCs w:val="21"/>
          <w:highlight w:val="none"/>
        </w:rPr>
        <w:t>未被“信用中国”网站（www.creditchina.gov.cn）列入失信被执行人、重大税收违法案件当事人名单、政府采购严重失信行为记录名单。</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lang w:val="zh-CN"/>
        </w:rPr>
        <w:t>（</w:t>
      </w:r>
      <w:r>
        <w:rPr>
          <w:rFonts w:hint="eastAsia" w:ascii="宋体" w:hAnsi="宋体" w:cs="宋体"/>
          <w:szCs w:val="21"/>
          <w:highlight w:val="none"/>
        </w:rPr>
        <w:t>2）技术部分</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w:t>
      </w:r>
      <w:r>
        <w:rPr>
          <w:rFonts w:hint="eastAsia" w:ascii="宋体" w:hAnsi="宋体" w:cs="宋体"/>
          <w:b/>
          <w:bCs/>
          <w:szCs w:val="21"/>
          <w:highlight w:val="none"/>
          <w:lang w:val="zh-CN"/>
        </w:rPr>
        <w:t>偏离表：</w:t>
      </w:r>
    </w:p>
    <w:p>
      <w:pPr>
        <w:spacing w:line="420" w:lineRule="exact"/>
        <w:ind w:firstLine="422" w:firstLineChars="200"/>
        <w:jc w:val="left"/>
        <w:rPr>
          <w:rFonts w:ascii="宋体" w:hAnsi="宋体" w:cs="宋体"/>
          <w:b/>
          <w:bCs/>
          <w:szCs w:val="21"/>
          <w:highlight w:val="none"/>
          <w:lang w:val="zh-CN"/>
        </w:rPr>
      </w:pPr>
      <w:r>
        <w:rPr>
          <w:rFonts w:hint="eastAsia" w:ascii="宋体" w:hAnsi="宋体" w:cs="宋体"/>
          <w:b/>
          <w:bCs/>
          <w:szCs w:val="21"/>
          <w:highlight w:val="none"/>
        </w:rPr>
        <w:t>2、</w:t>
      </w:r>
      <w:r>
        <w:rPr>
          <w:rFonts w:hint="eastAsia" w:ascii="宋体" w:hAnsi="宋体" w:cs="宋体"/>
          <w:b/>
          <w:bCs/>
          <w:szCs w:val="21"/>
          <w:highlight w:val="none"/>
          <w:lang w:val="zh-CN"/>
        </w:rPr>
        <w:t>服务承诺书；</w:t>
      </w:r>
    </w:p>
    <w:p>
      <w:pPr>
        <w:spacing w:line="420" w:lineRule="exact"/>
        <w:ind w:firstLine="420" w:firstLineChars="200"/>
        <w:jc w:val="left"/>
        <w:rPr>
          <w:rFonts w:ascii="宋体" w:hAnsi="宋体" w:cs="宋体"/>
          <w:szCs w:val="21"/>
          <w:highlight w:val="none"/>
          <w:lang w:val="zh-CN"/>
        </w:rPr>
      </w:pPr>
      <w:r>
        <w:rPr>
          <w:rFonts w:hint="eastAsia" w:ascii="宋体" w:hAnsi="宋体" w:cs="宋体"/>
          <w:szCs w:val="21"/>
          <w:highlight w:val="none"/>
        </w:rPr>
        <w:t>3、</w:t>
      </w:r>
      <w:r>
        <w:rPr>
          <w:rFonts w:hint="eastAsia" w:ascii="宋体" w:hAnsi="宋体" w:cs="宋体"/>
          <w:szCs w:val="21"/>
          <w:highlight w:val="none"/>
          <w:lang w:val="zh-CN"/>
        </w:rPr>
        <w:t>供应商认为需要提供的其他技术文件或资料等。</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lang w:val="zh-CN"/>
        </w:rPr>
        <w:t>（</w:t>
      </w:r>
      <w:r>
        <w:rPr>
          <w:rFonts w:hint="eastAsia" w:ascii="宋体" w:hAnsi="宋体" w:cs="宋体"/>
          <w:szCs w:val="21"/>
          <w:highlight w:val="none"/>
        </w:rPr>
        <w:t>3）报价部分</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1、开标一览表</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2、分项表报价表</w:t>
      </w:r>
    </w:p>
    <w:p>
      <w:pPr>
        <w:spacing w:line="420" w:lineRule="exact"/>
        <w:ind w:firstLine="420" w:firstLineChars="200"/>
        <w:jc w:val="left"/>
        <w:rPr>
          <w:rFonts w:ascii="宋体" w:hAnsi="宋体" w:cs="宋体"/>
          <w:b/>
          <w:bCs/>
          <w:szCs w:val="21"/>
          <w:highlight w:val="none"/>
        </w:rPr>
      </w:pPr>
      <w:r>
        <w:rPr>
          <w:rFonts w:hint="eastAsia" w:ascii="宋体" w:hAnsi="宋体" w:cs="宋体"/>
          <w:szCs w:val="21"/>
          <w:highlight w:val="none"/>
        </w:rPr>
        <w:t xml:space="preserve">  </w:t>
      </w:r>
      <w:r>
        <w:rPr>
          <w:rFonts w:hint="eastAsia" w:ascii="宋体" w:hAnsi="宋体" w:cs="宋体"/>
          <w:b/>
          <w:bCs/>
          <w:szCs w:val="21"/>
          <w:highlight w:val="none"/>
        </w:rPr>
        <w:t>上述（1）-（3）项所有内容为必备材料，如有缺项为无效响应。</w:t>
      </w:r>
    </w:p>
    <w:p>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（二）文件的签署和密封要求：</w:t>
      </w:r>
    </w:p>
    <w:p>
      <w:pPr>
        <w:widowControl/>
        <w:snapToGrid w:val="0"/>
        <w:spacing w:line="420" w:lineRule="exact"/>
        <w:ind w:firstLine="527" w:firstLineChars="250"/>
        <w:jc w:val="left"/>
        <w:rPr>
          <w:rFonts w:ascii="宋体" w:hAnsi="宋体" w:cs="宋体"/>
          <w:b/>
          <w:kern w:val="0"/>
          <w:szCs w:val="21"/>
          <w:highlight w:val="none"/>
        </w:rPr>
      </w:pPr>
      <w:r>
        <w:rPr>
          <w:rFonts w:hint="eastAsia" w:ascii="宋体" w:hAnsi="宋体" w:cs="宋体"/>
          <w:b/>
          <w:kern w:val="0"/>
          <w:szCs w:val="21"/>
          <w:highlight w:val="none"/>
        </w:rPr>
        <w:t>1.询价响应文件为正本一份、副本贰份，需胶装成册，U盘壹份（单独密封）；</w:t>
      </w:r>
    </w:p>
    <w:p>
      <w:pPr>
        <w:widowControl/>
        <w:snapToGrid w:val="0"/>
        <w:spacing w:line="420" w:lineRule="exact"/>
        <w:ind w:firstLine="525" w:firstLineChars="250"/>
        <w:jc w:val="left"/>
        <w:rPr>
          <w:rFonts w:ascii="宋体" w:hAnsi="宋体" w:cs="宋体"/>
          <w:kern w:val="0"/>
          <w:szCs w:val="21"/>
          <w:highlight w:val="none"/>
        </w:rPr>
      </w:pPr>
      <w:r>
        <w:rPr>
          <w:rFonts w:hint="eastAsia" w:ascii="宋体" w:hAnsi="宋体" w:cs="宋体"/>
          <w:kern w:val="0"/>
          <w:szCs w:val="21"/>
          <w:highlight w:val="none"/>
        </w:rPr>
        <w:t>2.询价响应文件中复印件材料需加盖公章；</w:t>
      </w:r>
    </w:p>
    <w:p>
      <w:pPr>
        <w:widowControl/>
        <w:snapToGrid w:val="0"/>
        <w:spacing w:line="420" w:lineRule="exact"/>
        <w:ind w:firstLine="525" w:firstLineChars="250"/>
        <w:jc w:val="left"/>
        <w:rPr>
          <w:rFonts w:ascii="宋体" w:hAnsi="宋体" w:cs="宋体"/>
          <w:kern w:val="0"/>
          <w:szCs w:val="21"/>
          <w:highlight w:val="none"/>
        </w:rPr>
      </w:pPr>
      <w:r>
        <w:rPr>
          <w:rFonts w:hint="eastAsia" w:ascii="宋体" w:hAnsi="宋体" w:cs="宋体"/>
          <w:kern w:val="0"/>
          <w:szCs w:val="21"/>
          <w:highlight w:val="none"/>
        </w:rPr>
        <w:t>3.询价响应文件须装袋密封，封口处须加盖单位公章，封面应注明采购项目编号、项目名称、采购人和响应单位名称，联系人，联系电话等。</w:t>
      </w:r>
    </w:p>
    <w:p>
      <w:pPr>
        <w:widowControl/>
        <w:snapToGrid w:val="0"/>
        <w:spacing w:line="420" w:lineRule="exact"/>
        <w:ind w:right="-153"/>
        <w:jc w:val="left"/>
        <w:rPr>
          <w:rFonts w:ascii="宋体" w:hAnsi="宋体" w:cs="宋体"/>
          <w:kern w:val="0"/>
          <w:szCs w:val="21"/>
          <w:highlight w:val="none"/>
        </w:rPr>
      </w:pPr>
      <w:r>
        <w:rPr>
          <w:rFonts w:hint="eastAsia" w:ascii="宋体" w:hAnsi="宋体" w:cs="宋体"/>
          <w:szCs w:val="21"/>
          <w:highlight w:val="none"/>
        </w:rPr>
        <w:t>四、综合说明</w:t>
      </w:r>
    </w:p>
    <w:p>
      <w:pPr>
        <w:pStyle w:val="11"/>
        <w:spacing w:line="420" w:lineRule="exact"/>
        <w:ind w:firstLine="420" w:firstLineChars="200"/>
        <w:rPr>
          <w:rFonts w:cs="宋体"/>
          <w:kern w:val="0"/>
          <w:sz w:val="21"/>
          <w:szCs w:val="21"/>
          <w:highlight w:val="none"/>
        </w:rPr>
      </w:pPr>
      <w:r>
        <w:rPr>
          <w:rFonts w:hint="eastAsia" w:cs="宋体"/>
          <w:kern w:val="0"/>
          <w:sz w:val="21"/>
          <w:szCs w:val="21"/>
          <w:highlight w:val="none"/>
        </w:rPr>
        <w:t>1.本次询价采购，响应单位须报出完整且唯一的总报价。报价应包括</w:t>
      </w:r>
      <w:r>
        <w:rPr>
          <w:rFonts w:hint="eastAsia" w:cs="宋体"/>
          <w:sz w:val="21"/>
          <w:szCs w:val="21"/>
          <w:highlight w:val="none"/>
        </w:rPr>
        <w:t>但不限于询价文件及其基本技术要求范围内相应服务前的准备（包括现场踏勘等）、</w:t>
      </w:r>
      <w:r>
        <w:rPr>
          <w:rFonts w:hint="eastAsia" w:cs="宋体"/>
          <w:b/>
          <w:bCs/>
          <w:sz w:val="21"/>
          <w:szCs w:val="21"/>
          <w:highlight w:val="none"/>
        </w:rPr>
        <w:t>人工工资、报告费、现场快筛、车辆设备、利润、税金、风险及政策性文件</w:t>
      </w:r>
      <w:r>
        <w:rPr>
          <w:rFonts w:hint="eastAsia" w:cs="宋体"/>
          <w:sz w:val="21"/>
          <w:szCs w:val="21"/>
          <w:highlight w:val="none"/>
        </w:rPr>
        <w:t>规定等各项应有费用，以及为完成招标文件规定的服务工作所涉及到的一切相关费用</w:t>
      </w:r>
      <w:r>
        <w:rPr>
          <w:rFonts w:hint="eastAsia" w:cs="宋体"/>
          <w:kern w:val="0"/>
          <w:sz w:val="21"/>
          <w:szCs w:val="21"/>
          <w:highlight w:val="none"/>
          <w:lang w:val="zh-CN"/>
        </w:rPr>
        <w:t>。</w:t>
      </w:r>
      <w:r>
        <w:rPr>
          <w:rFonts w:hint="eastAsia" w:cs="宋体"/>
          <w:sz w:val="21"/>
          <w:szCs w:val="21"/>
          <w:highlight w:val="none"/>
        </w:rPr>
        <w:t>同时，除非合同条款中另有规定，否则，投标单位所报价格在合同投标、实施期间不因市场变化因素而变</w:t>
      </w:r>
      <w:r>
        <w:rPr>
          <w:rFonts w:hint="eastAsia" w:cs="宋体"/>
          <w:kern w:val="0"/>
          <w:sz w:val="21"/>
          <w:szCs w:val="21"/>
          <w:highlight w:val="none"/>
        </w:rPr>
        <w:t>动。以最低报价确定成交供应商。</w:t>
      </w:r>
    </w:p>
    <w:p>
      <w:pPr>
        <w:widowControl/>
        <w:snapToGrid w:val="0"/>
        <w:spacing w:line="420" w:lineRule="exact"/>
        <w:ind w:right="-153" w:firstLine="525" w:firstLineChars="250"/>
        <w:jc w:val="left"/>
        <w:rPr>
          <w:rFonts w:ascii="宋体" w:hAnsi="宋体" w:cs="宋体"/>
          <w:kern w:val="0"/>
          <w:szCs w:val="21"/>
          <w:highlight w:val="none"/>
        </w:rPr>
      </w:pPr>
      <w:r>
        <w:rPr>
          <w:rFonts w:hint="eastAsia" w:ascii="宋体" w:hAnsi="宋体" w:cs="宋体"/>
          <w:kern w:val="0"/>
          <w:szCs w:val="21"/>
          <w:highlight w:val="none"/>
        </w:rPr>
        <w:t>2.请贵单位按上述要求编制询价响应文件盖章密封，并于</w:t>
      </w:r>
      <w:r>
        <w:rPr>
          <w:rFonts w:hint="eastAsia" w:ascii="宋体" w:hAnsi="宋体" w:cs="宋体"/>
          <w:b/>
          <w:szCs w:val="21"/>
          <w:highlight w:val="none"/>
        </w:rPr>
        <w:t>2023年06月30日下午14：30</w:t>
      </w:r>
      <w:r>
        <w:rPr>
          <w:rFonts w:hint="eastAsia" w:ascii="宋体" w:hAnsi="宋体" w:cs="宋体"/>
          <w:b/>
          <w:bCs/>
          <w:kern w:val="0"/>
          <w:szCs w:val="21"/>
          <w:highlight w:val="none"/>
        </w:rPr>
        <w:t>前</w:t>
      </w:r>
      <w:r>
        <w:rPr>
          <w:rFonts w:hint="eastAsia" w:ascii="宋体" w:hAnsi="宋体" w:cs="宋体"/>
          <w:kern w:val="0"/>
          <w:szCs w:val="21"/>
          <w:highlight w:val="none"/>
        </w:rPr>
        <w:t>送交至常州市恒卓建设工程管理咨询有限公司。不按询价文件组成要求制作报价文件并签署的或过时递交文件的，均为无效文件。本项目将于</w:t>
      </w:r>
      <w:r>
        <w:rPr>
          <w:rFonts w:hint="eastAsia" w:ascii="宋体" w:hAnsi="宋体" w:cs="宋体"/>
          <w:b/>
          <w:szCs w:val="21"/>
          <w:highlight w:val="none"/>
        </w:rPr>
        <w:t>2023年06月30日下午14：30</w:t>
      </w:r>
      <w:r>
        <w:rPr>
          <w:rFonts w:hint="eastAsia" w:ascii="宋体" w:hAnsi="宋体" w:cs="宋体"/>
          <w:b/>
          <w:bCs/>
          <w:kern w:val="0"/>
          <w:szCs w:val="21"/>
          <w:highlight w:val="none"/>
        </w:rPr>
        <w:t>前</w:t>
      </w:r>
      <w:r>
        <w:rPr>
          <w:rFonts w:hint="eastAsia" w:ascii="宋体" w:hAnsi="宋体" w:cs="宋体"/>
          <w:kern w:val="0"/>
          <w:szCs w:val="21"/>
          <w:highlight w:val="none"/>
        </w:rPr>
        <w:t>在常州市恒卓建设工程管理咨询有限公司开始评标。</w:t>
      </w:r>
    </w:p>
    <w:p>
      <w:pPr>
        <w:widowControl/>
        <w:snapToGrid w:val="0"/>
        <w:spacing w:line="420" w:lineRule="exact"/>
        <w:ind w:right="-154" w:firstLine="525" w:firstLineChars="250"/>
        <w:jc w:val="left"/>
        <w:rPr>
          <w:rFonts w:ascii="宋体" w:hAnsi="宋体" w:cs="宋体"/>
          <w:kern w:val="0"/>
          <w:szCs w:val="21"/>
          <w:highlight w:val="none"/>
        </w:rPr>
      </w:pPr>
      <w:r>
        <w:rPr>
          <w:rFonts w:hint="eastAsia" w:ascii="宋体" w:hAnsi="宋体" w:cs="宋体"/>
          <w:kern w:val="0"/>
          <w:szCs w:val="21"/>
          <w:highlight w:val="none"/>
        </w:rPr>
        <w:t>3.成交原则：在符合采购需求、质量和服务相等且报价未超过采购预算的前提下，以提出最低报价的响应单位为成交供应商。若最低报价相同，则</w:t>
      </w:r>
      <w:r>
        <w:rPr>
          <w:rFonts w:hint="eastAsia" w:ascii="宋体" w:hAnsi="宋体" w:cs="宋体"/>
          <w:szCs w:val="21"/>
          <w:highlight w:val="none"/>
        </w:rPr>
        <w:t>依次</w:t>
      </w:r>
      <w:r>
        <w:rPr>
          <w:rStyle w:val="47"/>
          <w:rFonts w:hint="eastAsia" w:hAnsi="宋体" w:cs="宋体"/>
          <w:szCs w:val="21"/>
          <w:highlight w:val="none"/>
        </w:rPr>
        <w:t>按技术指标高优先、质量保证</w:t>
      </w:r>
      <w:r>
        <w:rPr>
          <w:rFonts w:hint="eastAsia" w:ascii="宋体" w:hAnsi="宋体" w:cs="宋体"/>
          <w:szCs w:val="21"/>
          <w:highlight w:val="none"/>
        </w:rPr>
        <w:t>期长优先、交货期短优先、故障响应时间短优先的顺序排列</w:t>
      </w:r>
      <w:r>
        <w:rPr>
          <w:rFonts w:hint="eastAsia" w:ascii="宋体" w:hAnsi="宋体" w:cs="宋体"/>
          <w:kern w:val="0"/>
          <w:szCs w:val="21"/>
          <w:highlight w:val="none"/>
        </w:rPr>
        <w:t xml:space="preserve">选择成交供应商。                                                         </w:t>
      </w:r>
    </w:p>
    <w:p>
      <w:pPr>
        <w:widowControl/>
        <w:snapToGrid w:val="0"/>
        <w:spacing w:line="420" w:lineRule="exact"/>
        <w:ind w:right="-154" w:firstLine="527" w:firstLineChars="250"/>
        <w:jc w:val="left"/>
        <w:rPr>
          <w:rFonts w:ascii="宋体" w:hAnsi="宋体" w:cs="宋体"/>
          <w:b/>
          <w:bCs/>
          <w:kern w:val="0"/>
          <w:szCs w:val="21"/>
          <w:highlight w:val="none"/>
        </w:rPr>
      </w:pPr>
      <w:r>
        <w:rPr>
          <w:rFonts w:hint="eastAsia" w:ascii="宋体" w:hAnsi="宋体" w:cs="宋体"/>
          <w:b/>
          <w:bCs/>
          <w:kern w:val="0"/>
          <w:szCs w:val="21"/>
          <w:highlight w:val="none"/>
        </w:rPr>
        <w:t>4. 投标保证金：本项目无需缴纳投标保证金</w:t>
      </w:r>
    </w:p>
    <w:p>
      <w:pPr>
        <w:widowControl/>
        <w:snapToGrid w:val="0"/>
        <w:spacing w:line="420" w:lineRule="exact"/>
        <w:ind w:right="-154" w:firstLine="527" w:firstLineChars="250"/>
        <w:jc w:val="left"/>
        <w:rPr>
          <w:rFonts w:ascii="宋体" w:hAnsi="宋体" w:cs="宋体"/>
          <w:b/>
          <w:bCs/>
          <w:kern w:val="0"/>
          <w:szCs w:val="21"/>
          <w:highlight w:val="none"/>
        </w:rPr>
      </w:pPr>
      <w:r>
        <w:rPr>
          <w:rFonts w:hint="eastAsia" w:ascii="宋体" w:hAnsi="宋体" w:cs="宋体"/>
          <w:b/>
          <w:bCs/>
          <w:kern w:val="0"/>
          <w:szCs w:val="21"/>
          <w:highlight w:val="none"/>
        </w:rPr>
        <w:t>5.履约保证金金额</w:t>
      </w:r>
    </w:p>
    <w:p>
      <w:pPr>
        <w:widowControl/>
        <w:snapToGrid w:val="0"/>
        <w:spacing w:line="420" w:lineRule="exact"/>
        <w:ind w:right="-153" w:firstLine="525" w:firstLineChars="250"/>
        <w:jc w:val="left"/>
        <w:rPr>
          <w:rFonts w:ascii="宋体" w:hAnsi="宋体" w:cs="宋体"/>
          <w:kern w:val="0"/>
          <w:szCs w:val="21"/>
          <w:highlight w:val="none"/>
        </w:rPr>
      </w:pPr>
      <w:r>
        <w:rPr>
          <w:rFonts w:hint="eastAsia" w:ascii="宋体" w:hAnsi="宋体" w:cs="宋体"/>
          <w:kern w:val="0"/>
          <w:szCs w:val="21"/>
          <w:highlight w:val="none"/>
        </w:rPr>
        <w:t>5.1中标单位应按规定提交履约保证金。</w:t>
      </w:r>
    </w:p>
    <w:p>
      <w:pPr>
        <w:widowControl/>
        <w:snapToGrid w:val="0"/>
        <w:spacing w:line="420" w:lineRule="exact"/>
        <w:ind w:right="-153" w:firstLine="525" w:firstLineChars="250"/>
        <w:jc w:val="left"/>
        <w:rPr>
          <w:rFonts w:ascii="宋体" w:hAnsi="宋体" w:cs="宋体"/>
          <w:kern w:val="0"/>
          <w:szCs w:val="21"/>
          <w:highlight w:val="none"/>
        </w:rPr>
      </w:pPr>
      <w:r>
        <w:rPr>
          <w:rFonts w:hint="eastAsia" w:ascii="宋体" w:hAnsi="宋体" w:cs="宋体"/>
          <w:kern w:val="0"/>
          <w:szCs w:val="21"/>
          <w:highlight w:val="none"/>
        </w:rPr>
        <w:t>5.2中标单位必须向</w:t>
      </w:r>
      <w:r>
        <w:rPr>
          <w:rFonts w:hint="eastAsia" w:ascii="宋体" w:hAnsi="宋体" w:cs="宋体"/>
          <w:b/>
          <w:bCs/>
          <w:kern w:val="0"/>
          <w:szCs w:val="21"/>
          <w:highlight w:val="none"/>
        </w:rPr>
        <w:t>招标人</w:t>
      </w:r>
      <w:r>
        <w:rPr>
          <w:rFonts w:hint="eastAsia" w:ascii="宋体" w:hAnsi="宋体" w:cs="宋体"/>
          <w:kern w:val="0"/>
          <w:szCs w:val="21"/>
          <w:highlight w:val="none"/>
        </w:rPr>
        <w:t>缴纳金额为</w:t>
      </w:r>
      <w:r>
        <w:rPr>
          <w:rFonts w:hint="eastAsia" w:ascii="宋体" w:hAnsi="宋体" w:cs="宋体"/>
          <w:b/>
          <w:bCs/>
          <w:kern w:val="0"/>
          <w:szCs w:val="21"/>
          <w:highlight w:val="none"/>
        </w:rPr>
        <w:t>中标合同价10%</w:t>
      </w:r>
      <w:r>
        <w:rPr>
          <w:rFonts w:hint="eastAsia" w:ascii="宋体" w:hAnsi="宋体" w:cs="宋体"/>
          <w:kern w:val="0"/>
          <w:szCs w:val="21"/>
          <w:highlight w:val="none"/>
        </w:rPr>
        <w:t>的履约保证金，也可自主选择以支票、汇票、本票、保函等非现金形式缴纳或提交。</w:t>
      </w:r>
    </w:p>
    <w:p>
      <w:pPr>
        <w:widowControl/>
        <w:snapToGrid w:val="0"/>
        <w:spacing w:line="420" w:lineRule="exact"/>
        <w:ind w:right="-153" w:firstLine="525" w:firstLineChars="250"/>
        <w:jc w:val="left"/>
        <w:rPr>
          <w:rFonts w:ascii="宋体" w:hAnsi="宋体" w:cs="宋体"/>
          <w:kern w:val="0"/>
          <w:szCs w:val="21"/>
          <w:highlight w:val="none"/>
        </w:rPr>
      </w:pPr>
      <w:r>
        <w:rPr>
          <w:rFonts w:hint="eastAsia" w:ascii="宋体" w:hAnsi="宋体" w:cs="宋体"/>
          <w:kern w:val="0"/>
          <w:szCs w:val="21"/>
          <w:highlight w:val="none"/>
        </w:rPr>
        <w:t>5.3履约保证金将在合同结束后一次结清（无息）。</w:t>
      </w:r>
    </w:p>
    <w:p>
      <w:pPr>
        <w:widowControl/>
        <w:snapToGrid w:val="0"/>
        <w:spacing w:line="420" w:lineRule="exact"/>
        <w:ind w:right="-154" w:firstLine="525" w:firstLineChars="250"/>
        <w:jc w:val="left"/>
        <w:rPr>
          <w:rFonts w:ascii="宋体" w:hAnsi="宋体" w:cs="宋体"/>
          <w:kern w:val="0"/>
          <w:szCs w:val="21"/>
          <w:highlight w:val="none"/>
        </w:rPr>
      </w:pPr>
      <w:r>
        <w:rPr>
          <w:rFonts w:hint="eastAsia" w:ascii="宋体" w:hAnsi="宋体" w:cs="宋体"/>
          <w:kern w:val="0"/>
          <w:szCs w:val="21"/>
          <w:highlight w:val="none"/>
        </w:rPr>
        <w:t xml:space="preserve">6.参加询价的供应商若认为询价函的资格要求和技术要求有倾向性或不公正性，可在 </w:t>
      </w:r>
      <w:r>
        <w:rPr>
          <w:rFonts w:hint="eastAsia" w:ascii="宋体" w:hAnsi="宋体" w:cs="宋体"/>
          <w:b/>
          <w:bCs/>
          <w:kern w:val="0"/>
          <w:szCs w:val="21"/>
          <w:highlight w:val="none"/>
        </w:rPr>
        <w:t>2023年06月30日上午11：30之前以书面形式或邮件形式（994093050@qq.com）</w:t>
      </w:r>
      <w:r>
        <w:rPr>
          <w:rFonts w:hint="eastAsia" w:ascii="宋体" w:hAnsi="宋体" w:cs="宋体"/>
          <w:kern w:val="0"/>
          <w:szCs w:val="21"/>
          <w:highlight w:val="none"/>
        </w:rPr>
        <w:t>向我公司提出。对于没有提出澄清要求又参与了该项目的供应商将被视为完全认同该询价函，询价响应文件递交截止期后不再受理针对询价函的相关质疑和投诉。</w:t>
      </w:r>
    </w:p>
    <w:p>
      <w:pPr>
        <w:spacing w:line="420" w:lineRule="exact"/>
        <w:ind w:firstLine="420" w:firstLineChars="200"/>
        <w:rPr>
          <w:rFonts w:ascii="宋体" w:hAnsi="宋体" w:cs="宋体"/>
          <w:kern w:val="0"/>
          <w:szCs w:val="21"/>
          <w:highlight w:val="none"/>
        </w:rPr>
      </w:pPr>
      <w:r>
        <w:rPr>
          <w:rFonts w:hint="eastAsia" w:ascii="宋体" w:hAnsi="宋体" w:cs="宋体"/>
          <w:kern w:val="0"/>
          <w:szCs w:val="21"/>
          <w:highlight w:val="none"/>
        </w:rPr>
        <w:t>7.成交单位需支付成交服务费，</w:t>
      </w:r>
      <w:r>
        <w:rPr>
          <w:rFonts w:hint="eastAsia" w:ascii="宋体" w:hAnsi="宋体" w:cs="宋体"/>
          <w:szCs w:val="21"/>
          <w:highlight w:val="none"/>
        </w:rPr>
        <w:t>按差额定率累进法计算，</w:t>
      </w:r>
      <w:r>
        <w:rPr>
          <w:rFonts w:hint="eastAsia" w:ascii="宋体" w:hAnsi="宋体" w:cs="宋体"/>
          <w:kern w:val="0"/>
          <w:szCs w:val="21"/>
          <w:highlight w:val="none"/>
        </w:rPr>
        <w:t>收费</w:t>
      </w:r>
      <w:r>
        <w:rPr>
          <w:rFonts w:hint="eastAsia" w:ascii="宋体" w:hAnsi="宋体" w:cs="宋体"/>
          <w:b/>
          <w:szCs w:val="21"/>
          <w:highlight w:val="none"/>
        </w:rPr>
        <w:t>按照下列标准下浮40%收取</w:t>
      </w:r>
      <w:r>
        <w:rPr>
          <w:rFonts w:hint="eastAsia" w:ascii="宋体" w:hAnsi="宋体" w:cs="宋体"/>
          <w:kern w:val="0"/>
          <w:szCs w:val="21"/>
          <w:highlight w:val="none"/>
        </w:rPr>
        <w:t>，成交单位应在成交通知书发出后五个工作日内（合同签订前）将中标服务费付至代理机构收取投标保证金的帐户。不足2000元的，按2000元计取。</w:t>
      </w:r>
    </w:p>
    <w:tbl>
      <w:tblPr>
        <w:tblStyle w:val="22"/>
        <w:tblW w:w="6019"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391" w:type="dxa"/>
          </w:tcPr>
          <w:p>
            <w:pPr>
              <w:spacing w:line="420" w:lineRule="exact"/>
              <w:ind w:firstLine="945" w:firstLineChars="450"/>
              <w:rPr>
                <w:rFonts w:ascii="宋体" w:hAnsi="宋体" w:cs="宋体"/>
                <w:bCs/>
                <w:szCs w:val="21"/>
                <w:highlight w:val="none"/>
              </w:rPr>
            </w:pPr>
            <w:r>
              <w:rPr>
                <w:rFonts w:hint="eastAsia" w:ascii="宋体" w:hAnsi="宋体" w:cs="宋体"/>
                <w:bCs/>
                <w:szCs w:val="21"/>
                <w:highlight w:val="none"/>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AqwdHUAAAA&#10;CAEAAA8AAAAAAAAAAQAgAAAAIgAAAGRycy9kb3ducmV2LnhtbFBLAQIUABQAAAAIAIdO4kAtUOsh&#10;6AEAAPYDAAAOAAAAAAAAAAEAIAAAACMBAABkcnMvZTJvRG9jLnhtbFBLBQYAAAAABgAGAFkBAAB9&#10;BQAAAAA=&#10;">
                      <v:fill on="f" focussize="0,0"/>
                      <v:stroke color="#000000" joinstyle="round"/>
                      <v:imagedata o:title=""/>
                      <o:lock v:ext="edit" aspectratio="f"/>
                    </v:line>
                  </w:pict>
                </mc:Fallback>
              </mc:AlternateContent>
            </w:r>
            <w:r>
              <w:rPr>
                <w:rFonts w:hint="eastAsia" w:ascii="宋体" w:hAnsi="宋体" w:cs="宋体"/>
                <w:bCs/>
                <w:szCs w:val="21"/>
                <w:highlight w:val="none"/>
              </w:rPr>
              <mc:AlternateContent>
                <mc:Choice Requires="wps">
                  <w:drawing>
                    <wp:anchor distT="0" distB="0" distL="114300" distR="114300" simplePos="0" relativeHeight="251660288"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5" o:spid="_x0000_s1026" o:spt="20" style="position:absolute;left:0pt;margin-left:-8.85pt;margin-top:-0.35pt;height:0pt;width:0.05pt;z-index:251660288;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6JQU3TAAAABwEAAA8AAAAAAAAAAQAgAAAAIgAA&#10;AGRycy9kb3ducmV2LnhtbFBLAQIUABQAAAAIAIdO4kCF5ueY1AEAANgDAAAOAAAAAAAAAAEAIAAA&#10;ACIBAABkcnMvZTJvRG9jLnhtbFBLBQYAAAAABgAGAFkBAABoBQAAAAA=&#10;">
                      <v:fill on="f" focussize="0,0"/>
                      <v:stroke color="#000000" joinstyle="round"/>
                      <v:imagedata o:title=""/>
                      <o:lock v:ext="edit" aspectratio="f"/>
                    </v:line>
                  </w:pict>
                </mc:Fallback>
              </mc:AlternateContent>
            </w:r>
            <w:r>
              <w:rPr>
                <w:rFonts w:hint="eastAsia" w:ascii="宋体" w:hAnsi="宋体" w:cs="宋体"/>
                <w:bCs/>
                <w:szCs w:val="21"/>
                <w:highlight w:val="none"/>
              </w:rPr>
              <w:t>服</w:t>
            </w:r>
          </w:p>
          <w:p>
            <w:pPr>
              <w:spacing w:line="420" w:lineRule="exact"/>
              <w:ind w:firstLine="210" w:firstLineChars="100"/>
              <w:rPr>
                <w:rFonts w:ascii="宋体" w:hAnsi="宋体" w:cs="宋体"/>
                <w:bCs/>
                <w:szCs w:val="21"/>
                <w:highlight w:val="none"/>
              </w:rPr>
            </w:pPr>
            <w:r>
              <w:rPr>
                <w:rFonts w:hint="eastAsia" w:ascii="宋体" w:hAnsi="宋体" w:cs="宋体"/>
                <w:bCs/>
                <w:szCs w:val="21"/>
                <w:highlight w:val="none"/>
              </w:rPr>
              <w:t>费　　　  务</w:t>
            </w:r>
          </w:p>
          <w:p>
            <w:pPr>
              <w:spacing w:line="420" w:lineRule="exact"/>
              <w:ind w:firstLine="1050" w:firstLineChars="500"/>
              <w:rPr>
                <w:rFonts w:ascii="宋体" w:hAnsi="宋体" w:cs="宋体"/>
                <w:bCs/>
                <w:szCs w:val="21"/>
                <w:highlight w:val="none"/>
              </w:rPr>
            </w:pPr>
            <w:r>
              <w:rPr>
                <w:rFonts w:hint="eastAsia" w:ascii="宋体" w:hAnsi="宋体" w:cs="宋体"/>
                <w:bCs/>
                <w:szCs w:val="21"/>
                <w:highlight w:val="none"/>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6" o:spid="_x0000_s1026" o:spt="20" style="position:absolute;left:0pt;flip:x y;margin-left:-6.5pt;margin-top:7.15pt;height:78.55pt;width:138.85pt;z-index:251661312;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7vf7PVAAAA&#10;CgEAAA8AAAAAAAAAAQAgAAAAIgAAAGRycy9kb3ducmV2LnhtbFBLAQIUABQAAAAIAIdO4kAW00Zf&#10;5wEAAPUDAAAOAAAAAAAAAAEAIAAAACQBAABkcnMvZTJvRG9jLnhtbFBLBQYAAAAABgAGAFkBAAB9&#10;BQAAAAA=&#10;">
                      <v:fill on="f" focussize="0,0"/>
                      <v:stroke color="#000000" joinstyle="round"/>
                      <v:imagedata o:title=""/>
                      <o:lock v:ext="edit" aspectratio="f"/>
                    </v:line>
                  </w:pict>
                </mc:Fallback>
              </mc:AlternateContent>
            </w:r>
            <w:r>
              <w:rPr>
                <w:rFonts w:hint="eastAsia" w:ascii="宋体" w:hAnsi="宋体" w:cs="宋体"/>
                <w:bCs/>
                <w:szCs w:val="21"/>
                <w:highlight w:val="none"/>
              </w:rPr>
              <w:t>　   类</w:t>
            </w:r>
          </w:p>
          <w:p>
            <w:pPr>
              <w:spacing w:line="420" w:lineRule="exact"/>
              <w:ind w:firstLine="1050" w:firstLineChars="500"/>
              <w:rPr>
                <w:rFonts w:ascii="宋体" w:hAnsi="宋体" w:cs="宋体"/>
                <w:bCs/>
                <w:szCs w:val="21"/>
                <w:highlight w:val="none"/>
              </w:rPr>
            </w:pPr>
            <w:r>
              <w:rPr>
                <w:rFonts w:hint="eastAsia" w:ascii="宋体" w:hAnsi="宋体" w:cs="宋体"/>
                <w:bCs/>
                <w:szCs w:val="21"/>
                <w:highlight w:val="none"/>
              </w:rPr>
              <w:t>率　    型</w:t>
            </w:r>
          </w:p>
          <w:p>
            <w:pPr>
              <w:spacing w:line="420" w:lineRule="exact"/>
              <w:ind w:firstLine="1050" w:firstLineChars="500"/>
              <w:rPr>
                <w:rFonts w:ascii="宋体" w:hAnsi="宋体" w:cs="宋体"/>
                <w:bCs/>
                <w:szCs w:val="21"/>
                <w:highlight w:val="none"/>
              </w:rPr>
            </w:pPr>
            <w:r>
              <w:rPr>
                <w:rFonts w:hint="eastAsia" w:ascii="宋体" w:hAnsi="宋体" w:cs="宋体"/>
                <w:bCs/>
                <w:szCs w:val="21"/>
                <w:highlight w:val="none"/>
              </w:rPr>
              <w:t>　　　　</w:t>
            </w:r>
          </w:p>
          <w:p>
            <w:pPr>
              <w:spacing w:line="420" w:lineRule="exact"/>
              <w:rPr>
                <w:rFonts w:ascii="宋体" w:hAnsi="宋体" w:cs="宋体"/>
                <w:bCs/>
                <w:szCs w:val="21"/>
                <w:highlight w:val="none"/>
              </w:rPr>
            </w:pPr>
            <w:r>
              <w:rPr>
                <w:rFonts w:hint="eastAsia" w:ascii="宋体" w:hAnsi="宋体" w:cs="宋体"/>
                <w:bCs/>
                <w:szCs w:val="21"/>
                <w:highlight w:val="none"/>
              </w:rPr>
              <w:t>中标金额（万元）</w:t>
            </w:r>
          </w:p>
        </w:tc>
        <w:tc>
          <w:tcPr>
            <w:tcW w:w="2628" w:type="dxa"/>
            <w:vAlign w:val="center"/>
          </w:tcPr>
          <w:p>
            <w:pPr>
              <w:spacing w:line="420" w:lineRule="exact"/>
              <w:jc w:val="center"/>
              <w:rPr>
                <w:rFonts w:ascii="宋体" w:hAnsi="宋体" w:cs="宋体"/>
                <w:bCs/>
                <w:szCs w:val="21"/>
                <w:highlight w:val="none"/>
              </w:rPr>
            </w:pPr>
            <w:r>
              <w:rPr>
                <w:rFonts w:hint="eastAsia" w:ascii="宋体" w:hAnsi="宋体" w:cs="宋体"/>
                <w:bCs/>
                <w:szCs w:val="21"/>
                <w:highlight w:val="none"/>
              </w:rPr>
              <w:t>服务招标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rFonts w:ascii="宋体" w:hAnsi="宋体" w:cs="宋体"/>
                <w:szCs w:val="21"/>
                <w:highlight w:val="none"/>
              </w:rPr>
            </w:pPr>
            <w:r>
              <w:rPr>
                <w:rFonts w:hint="eastAsia" w:ascii="宋体" w:hAnsi="宋体" w:cs="宋体"/>
                <w:szCs w:val="21"/>
                <w:highlight w:val="none"/>
              </w:rPr>
              <w:t>100（含，下同）以下</w:t>
            </w:r>
          </w:p>
        </w:tc>
        <w:tc>
          <w:tcPr>
            <w:tcW w:w="2628" w:type="dxa"/>
          </w:tcPr>
          <w:p>
            <w:pPr>
              <w:spacing w:line="420" w:lineRule="exact"/>
              <w:jc w:val="center"/>
              <w:rPr>
                <w:rFonts w:ascii="宋体" w:hAnsi="宋体" w:cs="宋体"/>
                <w:szCs w:val="21"/>
                <w:highlight w:val="none"/>
              </w:rPr>
            </w:pPr>
            <w:r>
              <w:rPr>
                <w:rFonts w:hint="eastAsia" w:ascii="宋体" w:hAnsi="宋体" w:cs="宋体"/>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rFonts w:ascii="宋体" w:hAnsi="宋体" w:cs="宋体"/>
                <w:szCs w:val="21"/>
                <w:highlight w:val="none"/>
              </w:rPr>
            </w:pPr>
            <w:r>
              <w:rPr>
                <w:rFonts w:hint="eastAsia" w:ascii="宋体" w:hAnsi="宋体" w:cs="宋体"/>
                <w:szCs w:val="21"/>
                <w:highlight w:val="none"/>
              </w:rPr>
              <w:t>100-500</w:t>
            </w:r>
          </w:p>
        </w:tc>
        <w:tc>
          <w:tcPr>
            <w:tcW w:w="2628" w:type="dxa"/>
          </w:tcPr>
          <w:p>
            <w:pPr>
              <w:spacing w:line="420" w:lineRule="exact"/>
              <w:jc w:val="center"/>
              <w:rPr>
                <w:rFonts w:ascii="宋体" w:hAnsi="宋体" w:cs="宋体"/>
                <w:szCs w:val="21"/>
                <w:highlight w:val="none"/>
              </w:rPr>
            </w:pPr>
            <w:r>
              <w:rPr>
                <w:rFonts w:hint="eastAsia" w:ascii="宋体" w:hAnsi="宋体" w:cs="宋体"/>
                <w:szCs w:val="21"/>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rFonts w:ascii="宋体" w:hAnsi="宋体" w:cs="宋体"/>
                <w:szCs w:val="21"/>
                <w:highlight w:val="none"/>
              </w:rPr>
            </w:pPr>
            <w:r>
              <w:rPr>
                <w:rFonts w:hint="eastAsia" w:ascii="宋体" w:hAnsi="宋体" w:cs="宋体"/>
                <w:szCs w:val="21"/>
                <w:highlight w:val="none"/>
              </w:rPr>
              <w:t xml:space="preserve"> 500-1000</w:t>
            </w:r>
          </w:p>
        </w:tc>
        <w:tc>
          <w:tcPr>
            <w:tcW w:w="2628" w:type="dxa"/>
          </w:tcPr>
          <w:p>
            <w:pPr>
              <w:spacing w:line="420" w:lineRule="exact"/>
              <w:jc w:val="center"/>
              <w:rPr>
                <w:rFonts w:ascii="宋体" w:hAnsi="宋体" w:cs="宋体"/>
                <w:szCs w:val="21"/>
                <w:highlight w:val="none"/>
              </w:rPr>
            </w:pPr>
            <w:r>
              <w:rPr>
                <w:rFonts w:hint="eastAsia" w:ascii="宋体" w:hAnsi="宋体" w:cs="宋体"/>
                <w:szCs w:val="21"/>
                <w:highlight w: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1" w:type="dxa"/>
          </w:tcPr>
          <w:p>
            <w:pPr>
              <w:spacing w:line="420" w:lineRule="exact"/>
              <w:jc w:val="center"/>
              <w:rPr>
                <w:rFonts w:ascii="宋体" w:hAnsi="宋体" w:cs="宋体"/>
                <w:szCs w:val="21"/>
                <w:highlight w:val="none"/>
              </w:rPr>
            </w:pPr>
            <w:r>
              <w:rPr>
                <w:rFonts w:hint="eastAsia" w:ascii="宋体" w:hAnsi="宋体" w:cs="宋体"/>
                <w:szCs w:val="21"/>
                <w:highlight w:val="none"/>
              </w:rPr>
              <w:t>……</w:t>
            </w:r>
          </w:p>
        </w:tc>
        <w:tc>
          <w:tcPr>
            <w:tcW w:w="2628" w:type="dxa"/>
          </w:tcPr>
          <w:p>
            <w:pPr>
              <w:spacing w:line="420" w:lineRule="exact"/>
              <w:jc w:val="center"/>
              <w:rPr>
                <w:rFonts w:ascii="宋体" w:hAnsi="宋体" w:cs="宋体"/>
                <w:szCs w:val="21"/>
                <w:highlight w:val="none"/>
              </w:rPr>
            </w:pPr>
            <w:r>
              <w:rPr>
                <w:rFonts w:hint="eastAsia" w:ascii="宋体" w:hAnsi="宋体" w:cs="宋体"/>
                <w:szCs w:val="21"/>
                <w:highlight w:val="none"/>
              </w:rPr>
              <w:t>……</w:t>
            </w:r>
          </w:p>
        </w:tc>
      </w:tr>
    </w:tbl>
    <w:p>
      <w:pPr>
        <w:spacing w:line="420" w:lineRule="exact"/>
        <w:ind w:firstLine="422" w:firstLineChars="200"/>
        <w:rPr>
          <w:rFonts w:ascii="宋体" w:hAnsi="宋体" w:cs="宋体"/>
          <w:b/>
          <w:bCs/>
          <w:kern w:val="0"/>
          <w:szCs w:val="21"/>
          <w:highlight w:val="none"/>
        </w:rPr>
      </w:pPr>
      <w:bookmarkStart w:id="0" w:name="OLE_LINK16"/>
      <w:r>
        <w:rPr>
          <w:rFonts w:hint="eastAsia" w:ascii="宋体" w:hAnsi="宋体" w:cs="宋体"/>
          <w:b/>
          <w:bCs/>
          <w:kern w:val="0"/>
          <w:szCs w:val="21"/>
          <w:highlight w:val="none"/>
        </w:rPr>
        <w:t>8.评委费由中标单位按实支付给招标代理机构。</w:t>
      </w:r>
      <w:bookmarkEnd w:id="0"/>
    </w:p>
    <w:p>
      <w:pPr>
        <w:spacing w:line="420" w:lineRule="exact"/>
        <w:ind w:firstLine="420" w:firstLineChars="200"/>
        <w:rPr>
          <w:rFonts w:ascii="宋体" w:hAnsi="宋体" w:cs="宋体"/>
          <w:szCs w:val="21"/>
          <w:highlight w:val="none"/>
        </w:rPr>
      </w:pPr>
      <w:r>
        <w:rPr>
          <w:rFonts w:hint="eastAsia" w:ascii="宋体" w:hAnsi="宋体" w:cs="宋体"/>
          <w:kern w:val="0"/>
          <w:szCs w:val="21"/>
          <w:highlight w:val="none"/>
        </w:rPr>
        <w:t>9.联系方式</w:t>
      </w:r>
    </w:p>
    <w:p>
      <w:pPr>
        <w:pStyle w:val="2"/>
        <w:tabs>
          <w:tab w:val="left" w:pos="525"/>
        </w:tabs>
        <w:snapToGrid w:val="0"/>
        <w:spacing w:line="420" w:lineRule="exact"/>
        <w:ind w:firstLine="0"/>
        <w:rPr>
          <w:rFonts w:hAnsi="宋体" w:cs="宋体"/>
          <w:spacing w:val="0"/>
          <w:sz w:val="21"/>
          <w:szCs w:val="21"/>
          <w:highlight w:val="none"/>
        </w:rPr>
      </w:pPr>
      <w:r>
        <w:rPr>
          <w:rFonts w:hint="eastAsia" w:hAnsi="宋体" w:cs="宋体"/>
          <w:spacing w:val="0"/>
          <w:kern w:val="0"/>
          <w:sz w:val="21"/>
          <w:szCs w:val="21"/>
          <w:highlight w:val="none"/>
        </w:rPr>
        <w:tab/>
      </w:r>
      <w:r>
        <w:rPr>
          <w:rFonts w:hint="eastAsia" w:hAnsi="宋体" w:cs="宋体"/>
          <w:spacing w:val="0"/>
          <w:kern w:val="0"/>
          <w:sz w:val="21"/>
          <w:szCs w:val="21"/>
          <w:highlight w:val="none"/>
        </w:rPr>
        <w:t>（1）采购单</w:t>
      </w:r>
      <w:r>
        <w:rPr>
          <w:rFonts w:hint="eastAsia" w:hAnsi="宋体" w:cs="宋体"/>
          <w:spacing w:val="0"/>
          <w:sz w:val="21"/>
          <w:szCs w:val="21"/>
          <w:highlight w:val="none"/>
        </w:rPr>
        <w:t>位</w:t>
      </w:r>
      <w:r>
        <w:rPr>
          <w:rFonts w:hint="eastAsia" w:hAnsi="宋体" w:cs="宋体"/>
          <w:spacing w:val="0"/>
          <w:kern w:val="0"/>
          <w:sz w:val="21"/>
          <w:szCs w:val="21"/>
          <w:highlight w:val="none"/>
        </w:rPr>
        <w:t xml:space="preserve">：常州环保服务有限公司 </w:t>
      </w:r>
    </w:p>
    <w:p>
      <w:pPr>
        <w:pStyle w:val="2"/>
        <w:tabs>
          <w:tab w:val="left" w:pos="525"/>
        </w:tabs>
        <w:snapToGrid w:val="0"/>
        <w:spacing w:line="420" w:lineRule="exact"/>
        <w:ind w:firstLine="930" w:firstLineChars="443"/>
        <w:rPr>
          <w:rFonts w:hAnsi="宋体" w:cs="宋体"/>
          <w:spacing w:val="0"/>
          <w:sz w:val="21"/>
          <w:szCs w:val="21"/>
          <w:highlight w:val="none"/>
        </w:rPr>
      </w:pPr>
      <w:r>
        <w:rPr>
          <w:rFonts w:hint="eastAsia" w:hAnsi="宋体" w:cs="宋体"/>
          <w:spacing w:val="0"/>
          <w:kern w:val="0"/>
          <w:sz w:val="21"/>
          <w:szCs w:val="21"/>
          <w:highlight w:val="none"/>
        </w:rPr>
        <w:t xml:space="preserve"> 联系人：朱先生        电话</w:t>
      </w:r>
      <w:r>
        <w:rPr>
          <w:rFonts w:hint="eastAsia" w:hAnsi="宋体" w:cs="宋体"/>
          <w:spacing w:val="0"/>
          <w:sz w:val="21"/>
          <w:szCs w:val="21"/>
          <w:highlight w:val="none"/>
        </w:rPr>
        <w:t>：15705186903</w:t>
      </w:r>
    </w:p>
    <w:p>
      <w:pPr>
        <w:widowControl/>
        <w:snapToGrid w:val="0"/>
        <w:spacing w:line="420" w:lineRule="exact"/>
        <w:ind w:right="-154" w:firstLine="525" w:firstLineChars="250"/>
        <w:jc w:val="left"/>
        <w:rPr>
          <w:rFonts w:ascii="宋体" w:hAnsi="宋体" w:cs="宋体"/>
          <w:kern w:val="0"/>
          <w:szCs w:val="21"/>
          <w:highlight w:val="none"/>
        </w:rPr>
      </w:pPr>
      <w:r>
        <w:rPr>
          <w:rFonts w:hint="eastAsia" w:ascii="宋体" w:hAnsi="宋体" w:cs="宋体"/>
          <w:kern w:val="0"/>
          <w:szCs w:val="21"/>
          <w:highlight w:val="none"/>
        </w:rPr>
        <w:t>（2）采购代理机构：</w:t>
      </w:r>
      <w:r>
        <w:rPr>
          <w:rFonts w:hint="eastAsia" w:ascii="宋体" w:hAnsi="宋体" w:cs="宋体"/>
          <w:szCs w:val="21"/>
          <w:highlight w:val="none"/>
        </w:rPr>
        <w:t>常州市恒卓建设工程管理咨询有限公司</w:t>
      </w:r>
    </w:p>
    <w:p>
      <w:pPr>
        <w:widowControl/>
        <w:snapToGrid w:val="0"/>
        <w:spacing w:line="420" w:lineRule="exact"/>
        <w:ind w:right="-154" w:firstLine="945" w:firstLineChars="450"/>
        <w:jc w:val="left"/>
        <w:rPr>
          <w:rFonts w:ascii="宋体" w:hAnsi="宋体" w:cs="宋体"/>
          <w:kern w:val="0"/>
          <w:szCs w:val="21"/>
          <w:highlight w:val="none"/>
        </w:rPr>
      </w:pPr>
      <w:r>
        <w:rPr>
          <w:rFonts w:hint="eastAsia" w:ascii="宋体" w:hAnsi="宋体" w:cs="宋体"/>
          <w:kern w:val="0"/>
          <w:szCs w:val="21"/>
          <w:highlight w:val="none"/>
        </w:rPr>
        <w:t>联系人：曹工            电话：</w:t>
      </w:r>
      <w:r>
        <w:rPr>
          <w:rFonts w:hint="eastAsia" w:ascii="宋体" w:hAnsi="宋体" w:cs="宋体"/>
          <w:szCs w:val="21"/>
          <w:highlight w:val="none"/>
        </w:rPr>
        <w:t>0519-83999268</w:t>
      </w:r>
    </w:p>
    <w:p>
      <w:pPr>
        <w:widowControl/>
        <w:snapToGrid w:val="0"/>
        <w:spacing w:line="420" w:lineRule="exact"/>
        <w:rPr>
          <w:rFonts w:ascii="宋体" w:hAnsi="宋体" w:cs="宋体"/>
          <w:b/>
          <w:bCs/>
          <w:szCs w:val="21"/>
          <w:highlight w:val="none"/>
        </w:rPr>
      </w:pPr>
      <w:r>
        <w:rPr>
          <w:rFonts w:hint="eastAsia" w:ascii="宋体" w:hAnsi="宋体" w:cs="宋体"/>
          <w:b/>
          <w:bCs/>
          <w:szCs w:val="21"/>
          <w:highlight w:val="none"/>
        </w:rPr>
        <w:t>五、报价规则</w:t>
      </w:r>
    </w:p>
    <w:p>
      <w:pPr>
        <w:widowControl/>
        <w:snapToGrid w:val="0"/>
        <w:spacing w:line="460" w:lineRule="exact"/>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本项目投标报价为</w:t>
      </w:r>
      <w:r>
        <w:rPr>
          <w:rFonts w:hint="eastAsia" w:asciiTheme="minorEastAsia" w:hAnsiTheme="minorEastAsia" w:eastAsiaTheme="minorEastAsia" w:cstheme="minorEastAsia"/>
          <w:b/>
          <w:bCs/>
          <w:szCs w:val="21"/>
          <w:highlight w:val="none"/>
        </w:rPr>
        <w:t>固定单价</w:t>
      </w:r>
      <w:r>
        <w:rPr>
          <w:rFonts w:hint="eastAsia" w:asciiTheme="minorEastAsia" w:hAnsiTheme="minorEastAsia" w:eastAsiaTheme="minorEastAsia" w:cstheme="minorEastAsia"/>
          <w:szCs w:val="21"/>
          <w:highlight w:val="none"/>
        </w:rPr>
        <w:t>，结算依据报价清单中各子项内容、钻井数量和钻探深度按实结算，投标总价应包括招标文件所确定的招标范围相应服务的提供、人员（包括工资和补贴）、办公场所及设施、保险、劳保、管理、各种税费、利润、税金、政策性文件规定及合同包含的所有风险、责任等各项应有费用，以及为完成该项服务项目所涉及到的一切相关费用（含所有资料获取费用），招标人不再支付其他任何费用。</w:t>
      </w:r>
    </w:p>
    <w:p>
      <w:pPr>
        <w:spacing w:line="460" w:lineRule="exact"/>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六、工作内容及要求：</w:t>
      </w:r>
    </w:p>
    <w:p>
      <w:pPr>
        <w:widowControl/>
        <w:snapToGrid w:val="0"/>
        <w:spacing w:line="460" w:lineRule="exact"/>
        <w:ind w:right="-153" w:firstLine="527" w:firstLineChars="250"/>
        <w:jc w:val="left"/>
        <w:rPr>
          <w:rFonts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工作内容</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（1）地下水监测井建设：RTK放样测量，计划布设地下水检测点位28个，建井总深度约352m（成孔口径200mm；UPVC管,口径为63mm，壁厚3mm，并满足现场实际施工条件）。</w:t>
      </w:r>
    </w:p>
    <w:p>
      <w:pPr>
        <w:widowControl/>
        <w:snapToGrid w:val="0"/>
        <w:spacing w:line="460" w:lineRule="exact"/>
        <w:ind w:right="-153" w:firstLine="527" w:firstLineChars="250"/>
        <w:jc w:val="center"/>
        <w:rPr>
          <w:rFonts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地下水监测井建设参数</w:t>
      </w:r>
    </w:p>
    <w:tbl>
      <w:tblPr>
        <w:tblStyle w:val="22"/>
        <w:tblW w:w="504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49"/>
        <w:gridCol w:w="1200"/>
        <w:gridCol w:w="1504"/>
        <w:gridCol w:w="1504"/>
        <w:gridCol w:w="1501"/>
        <w:gridCol w:w="286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5"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序号</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建井深度</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数量</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开筛位置</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沉淀管位置</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开筛位置土层情况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4.5m</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8</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1.5-4.0m</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4.0-4.5m</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②黏土、③粉质黏土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10m</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14</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6.5-9.5m</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9.5-10.0m</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③粉质黏土、④砂质粉土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5"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3</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20m</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3</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14.5-19.5m</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19.5-20.0m</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④砂质粉土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4</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28m</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3</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22.5-27.5m</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27.5-28.0m</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⑥砂质粉土</w:t>
            </w:r>
          </w:p>
        </w:tc>
      </w:tr>
    </w:tbl>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（2）井台建设及维护：拟建设井台28个并配备井盖及标识，提供</w:t>
      </w:r>
      <w:r>
        <w:rPr>
          <w:rFonts w:hint="eastAsia" w:asciiTheme="minorEastAsia" w:hAnsiTheme="minorEastAsia" w:eastAsiaTheme="minorEastAsia" w:cstheme="minorEastAsia"/>
          <w:b/>
          <w:bCs/>
          <w:kern w:val="0"/>
          <w:szCs w:val="21"/>
          <w:highlight w:val="none"/>
        </w:rPr>
        <w:t>至少5年质量保证和维护</w:t>
      </w:r>
      <w:r>
        <w:rPr>
          <w:rFonts w:hint="eastAsia" w:asciiTheme="minorEastAsia" w:hAnsiTheme="minorEastAsia" w:eastAsiaTheme="minorEastAsia" w:cstheme="minorEastAsia"/>
          <w:kern w:val="0"/>
          <w:szCs w:val="21"/>
          <w:highlight w:val="none"/>
        </w:rPr>
        <w:t>，满足期间内监测采样要求。井台：C20商品砼，尺寸100cm*100cm*50cm，含模板及四周护栏；井盖：φ160mm不锈钢，内径160mm，厚2mm，含盖板、密码锁；标识：记录建井信息。</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（3）其他工作内容：本次调查计划分2批进场，设备进出场2次，预计使用1m3大挖机3个台班。采样过程需提供点位及现场钻探过程照片、钻孔和开筛记录、RTK测量、摄像视频等，并满足甲方技术要求。</w:t>
      </w:r>
    </w:p>
    <w:p>
      <w:pPr>
        <w:widowControl/>
        <w:snapToGrid w:val="0"/>
        <w:spacing w:line="460" w:lineRule="exact"/>
        <w:ind w:right="-153" w:firstLine="527" w:firstLineChars="250"/>
        <w:jc w:val="left"/>
        <w:rPr>
          <w:rFonts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技术要求</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钻探单位应按照《重点行业企业用地调查疑似污染地块布点技术规定（试行）》、《建设用地土壤污染状况调查质量控制技术规定（试行）》等文件相关要求建设地下水监测井和做好二次污染防治工作，具体要求如下：</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（一）地下水采样井结构要求</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根据地下水采样目的，合理设计采样井结构，具体包括井管、滤水管、填料等。</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（1）井管</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①地下水采样井井管的内径要求不小于63mm。考虑到井管内径过大会导致地下水紊流，容易使土壤颗粒进入地下水中，故应在满足洗井和样品采集要求的前提下，尽量选择小口径井管。</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②地下水采样井井管应选择坚固、耐腐蚀、不会对地下水水质造成污染的材料制成。当地下水检测项目为有机物或地下水需要长期监测时，宜选择不锈钢材质井管；当检测项目为无机物或地下水的腐蚀性较强时，宜选择聚氯乙烯（PVC）材质管件，井管材质选择具体参照表1。</w:t>
      </w:r>
    </w:p>
    <w:p>
      <w:pPr>
        <w:widowControl/>
        <w:snapToGrid w:val="0"/>
        <w:spacing w:line="460" w:lineRule="exact"/>
        <w:ind w:right="-153" w:firstLine="527" w:firstLineChars="250"/>
        <w:jc w:val="center"/>
        <w:rPr>
          <w:rFonts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 xml:space="preserve">表 </w:t>
      </w:r>
      <w:r>
        <w:rPr>
          <w:rFonts w:hint="eastAsia" w:asciiTheme="minorEastAsia" w:hAnsiTheme="minorEastAsia" w:eastAsiaTheme="minorEastAsia" w:cstheme="minorEastAsia"/>
          <w:b/>
          <w:bCs/>
          <w:kern w:val="0"/>
          <w:szCs w:val="21"/>
          <w:highlight w:val="none"/>
        </w:rPr>
        <w:fldChar w:fldCharType="begin"/>
      </w:r>
      <w:r>
        <w:rPr>
          <w:rFonts w:hint="eastAsia" w:asciiTheme="minorEastAsia" w:hAnsiTheme="minorEastAsia" w:eastAsiaTheme="minorEastAsia" w:cstheme="minorEastAsia"/>
          <w:b/>
          <w:bCs/>
          <w:kern w:val="0"/>
          <w:szCs w:val="21"/>
          <w:highlight w:val="none"/>
        </w:rPr>
        <w:instrText xml:space="preserve"> SEQ 表 \* ARABIC </w:instrText>
      </w:r>
      <w:r>
        <w:rPr>
          <w:rFonts w:hint="eastAsia" w:asciiTheme="minorEastAsia" w:hAnsiTheme="minorEastAsia" w:eastAsiaTheme="minorEastAsia" w:cstheme="minorEastAsia"/>
          <w:b/>
          <w:bCs/>
          <w:kern w:val="0"/>
          <w:szCs w:val="21"/>
          <w:highlight w:val="none"/>
        </w:rPr>
        <w:fldChar w:fldCharType="separate"/>
      </w:r>
      <w:r>
        <w:rPr>
          <w:rFonts w:hint="eastAsia" w:asciiTheme="minorEastAsia" w:hAnsiTheme="minorEastAsia" w:eastAsiaTheme="minorEastAsia" w:cstheme="minorEastAsia"/>
          <w:b/>
          <w:bCs/>
          <w:kern w:val="0"/>
          <w:szCs w:val="21"/>
          <w:highlight w:val="none"/>
        </w:rPr>
        <w:t>1</w:t>
      </w:r>
      <w:r>
        <w:rPr>
          <w:rFonts w:hint="eastAsia" w:asciiTheme="minorEastAsia" w:hAnsiTheme="minorEastAsia" w:eastAsiaTheme="minorEastAsia" w:cstheme="minorEastAsia"/>
          <w:b/>
          <w:bCs/>
          <w:kern w:val="0"/>
          <w:szCs w:val="21"/>
          <w:highlight w:val="none"/>
        </w:rPr>
        <w:fldChar w:fldCharType="end"/>
      </w:r>
      <w:r>
        <w:rPr>
          <w:rFonts w:hint="eastAsia" w:asciiTheme="minorEastAsia" w:hAnsiTheme="minorEastAsia" w:eastAsiaTheme="minorEastAsia" w:cstheme="minorEastAsia"/>
          <w:b/>
          <w:bCs/>
          <w:kern w:val="0"/>
          <w:szCs w:val="21"/>
          <w:highlight w:val="none"/>
        </w:rPr>
        <w:t xml:space="preserve"> 井管材质选择要求</w:t>
      </w:r>
    </w:p>
    <w:tbl>
      <w:tblPr>
        <w:tblStyle w:val="22"/>
        <w:tblW w:w="5171" w:type="pct"/>
        <w:jc w:val="center"/>
        <w:tblLayout w:type="autofit"/>
        <w:tblCellMar>
          <w:top w:w="0" w:type="dxa"/>
          <w:left w:w="0" w:type="dxa"/>
          <w:bottom w:w="0" w:type="dxa"/>
          <w:right w:w="0" w:type="dxa"/>
        </w:tblCellMar>
      </w:tblPr>
      <w:tblGrid>
        <w:gridCol w:w="1236"/>
        <w:gridCol w:w="1511"/>
        <w:gridCol w:w="5290"/>
        <w:gridCol w:w="1314"/>
      </w:tblGrid>
      <w:tr>
        <w:tblPrEx>
          <w:tblCellMar>
            <w:top w:w="0" w:type="dxa"/>
            <w:left w:w="0" w:type="dxa"/>
            <w:bottom w:w="0" w:type="dxa"/>
            <w:right w:w="0" w:type="dxa"/>
          </w:tblCellMar>
        </w:tblPrEx>
        <w:trPr>
          <w:trHeight w:val="712" w:hRule="atLeast"/>
          <w:tblHeader/>
          <w:jc w:val="center"/>
        </w:trPr>
        <w:tc>
          <w:tcPr>
            <w:tcW w:w="661" w:type="pct"/>
            <w:tcBorders>
              <w:top w:val="single" w:color="000000" w:sz="6" w:space="0"/>
              <w:left w:val="single" w:color="000000" w:sz="6"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地下水中污染物</w:t>
            </w:r>
          </w:p>
        </w:tc>
        <w:tc>
          <w:tcPr>
            <w:tcW w:w="808" w:type="pct"/>
            <w:tcBorders>
              <w:top w:val="single" w:color="000000" w:sz="6"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第一选择</w:t>
            </w:r>
          </w:p>
        </w:tc>
        <w:tc>
          <w:tcPr>
            <w:tcW w:w="2828" w:type="pct"/>
            <w:tcBorders>
              <w:top w:val="single" w:color="000000" w:sz="6"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第二选择</w:t>
            </w:r>
          </w:p>
        </w:tc>
        <w:tc>
          <w:tcPr>
            <w:tcW w:w="702" w:type="pct"/>
            <w:tcBorders>
              <w:top w:val="single" w:color="000000" w:sz="6" w:space="0"/>
              <w:left w:val="single" w:color="000000" w:sz="4" w:space="0"/>
              <w:bottom w:val="single" w:color="000000" w:sz="4" w:space="0"/>
              <w:right w:val="single" w:color="000000" w:sz="6"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禁用材质</w:t>
            </w:r>
          </w:p>
        </w:tc>
      </w:tr>
      <w:tr>
        <w:tblPrEx>
          <w:tblCellMar>
            <w:top w:w="0" w:type="dxa"/>
            <w:left w:w="0" w:type="dxa"/>
            <w:bottom w:w="0" w:type="dxa"/>
            <w:right w:w="0" w:type="dxa"/>
          </w:tblCellMar>
        </w:tblPrEx>
        <w:trPr>
          <w:trHeight w:val="706" w:hRule="atLeast"/>
          <w:jc w:val="center"/>
        </w:trPr>
        <w:tc>
          <w:tcPr>
            <w:tcW w:w="661" w:type="pct"/>
            <w:tcBorders>
              <w:top w:val="single" w:color="000000" w:sz="4" w:space="0"/>
              <w:left w:val="single" w:color="000000" w:sz="6"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金属</w:t>
            </w:r>
          </w:p>
        </w:tc>
        <w:tc>
          <w:tcPr>
            <w:tcW w:w="808" w:type="pc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聚四氟乙烯（PTFE）</w:t>
            </w:r>
          </w:p>
        </w:tc>
        <w:tc>
          <w:tcPr>
            <w:tcW w:w="2828" w:type="pc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优先序：丙烯腈-苯乙烯-丁二烯共聚物（ABS）＞硬聚氯乙稀（UPVC）＞PVC</w:t>
            </w:r>
          </w:p>
        </w:tc>
        <w:tc>
          <w:tcPr>
            <w:tcW w:w="702" w:type="pct"/>
            <w:tcBorders>
              <w:top w:val="single" w:color="000000" w:sz="4" w:space="0"/>
              <w:left w:val="single" w:color="000000" w:sz="4" w:space="0"/>
              <w:bottom w:val="single" w:color="000000" w:sz="4" w:space="0"/>
              <w:right w:val="single" w:color="000000" w:sz="6"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304和316不锈钢</w:t>
            </w:r>
          </w:p>
        </w:tc>
      </w:tr>
      <w:tr>
        <w:tblPrEx>
          <w:tblCellMar>
            <w:top w:w="0" w:type="dxa"/>
            <w:left w:w="0" w:type="dxa"/>
            <w:bottom w:w="0" w:type="dxa"/>
            <w:right w:w="0" w:type="dxa"/>
          </w:tblCellMar>
        </w:tblPrEx>
        <w:trPr>
          <w:trHeight w:val="446" w:hRule="atLeast"/>
          <w:jc w:val="center"/>
        </w:trPr>
        <w:tc>
          <w:tcPr>
            <w:tcW w:w="661" w:type="pct"/>
            <w:tcBorders>
              <w:top w:val="single" w:color="000000" w:sz="4" w:space="0"/>
              <w:left w:val="single" w:color="000000" w:sz="6"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有机物</w:t>
            </w:r>
          </w:p>
        </w:tc>
        <w:tc>
          <w:tcPr>
            <w:tcW w:w="808" w:type="pc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304和316不锈钢</w:t>
            </w:r>
          </w:p>
        </w:tc>
        <w:tc>
          <w:tcPr>
            <w:tcW w:w="2828" w:type="pc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优先序：PTFE＞ABS＞UPVC＞PVC</w:t>
            </w:r>
          </w:p>
        </w:tc>
        <w:tc>
          <w:tcPr>
            <w:tcW w:w="702" w:type="pct"/>
            <w:tcBorders>
              <w:top w:val="single" w:color="000000" w:sz="4" w:space="0"/>
              <w:left w:val="single" w:color="000000" w:sz="4" w:space="0"/>
              <w:bottom w:val="single" w:color="000000" w:sz="4" w:space="0"/>
              <w:right w:val="single" w:color="000000" w:sz="6"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无</w:t>
            </w:r>
          </w:p>
        </w:tc>
      </w:tr>
      <w:tr>
        <w:tblPrEx>
          <w:tblCellMar>
            <w:top w:w="0" w:type="dxa"/>
            <w:left w:w="0" w:type="dxa"/>
            <w:bottom w:w="0" w:type="dxa"/>
            <w:right w:w="0" w:type="dxa"/>
          </w:tblCellMar>
        </w:tblPrEx>
        <w:trPr>
          <w:trHeight w:val="725" w:hRule="atLeast"/>
          <w:jc w:val="center"/>
        </w:trPr>
        <w:tc>
          <w:tcPr>
            <w:tcW w:w="661" w:type="pct"/>
            <w:tcBorders>
              <w:top w:val="single" w:color="000000" w:sz="4" w:space="0"/>
              <w:left w:val="single" w:color="000000" w:sz="6" w:space="0"/>
              <w:bottom w:val="single" w:color="000000" w:sz="6"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金属和有机物</w:t>
            </w:r>
          </w:p>
        </w:tc>
        <w:tc>
          <w:tcPr>
            <w:tcW w:w="808" w:type="pct"/>
            <w:tcBorders>
              <w:top w:val="single" w:color="000000" w:sz="4" w:space="0"/>
              <w:left w:val="single" w:color="000000" w:sz="4" w:space="0"/>
              <w:bottom w:val="single" w:color="000000" w:sz="6"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无</w:t>
            </w:r>
          </w:p>
        </w:tc>
        <w:tc>
          <w:tcPr>
            <w:tcW w:w="2828" w:type="pct"/>
            <w:tcBorders>
              <w:top w:val="single" w:color="000000" w:sz="4" w:space="0"/>
              <w:left w:val="single" w:color="000000" w:sz="4" w:space="0"/>
              <w:bottom w:val="single" w:color="000000" w:sz="6"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优先序：PTFE＞ABS＞UPVC＞PVC</w:t>
            </w:r>
          </w:p>
        </w:tc>
        <w:tc>
          <w:tcPr>
            <w:tcW w:w="702" w:type="pct"/>
            <w:tcBorders>
              <w:top w:val="single" w:color="000000" w:sz="4" w:space="0"/>
              <w:left w:val="single" w:color="000000" w:sz="4" w:space="0"/>
              <w:bottom w:val="single" w:color="000000" w:sz="6" w:space="0"/>
              <w:right w:val="single" w:color="000000" w:sz="6"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304和316不锈钢</w:t>
            </w:r>
          </w:p>
        </w:tc>
      </w:tr>
    </w:tbl>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③井管连接可采用螺纹或卡扣进行连接，</w:t>
      </w:r>
      <w:r>
        <w:rPr>
          <w:rFonts w:hint="eastAsia" w:asciiTheme="minorEastAsia" w:hAnsiTheme="minorEastAsia" w:eastAsiaTheme="minorEastAsia" w:cstheme="minorEastAsia"/>
          <w:b/>
          <w:bCs/>
          <w:szCs w:val="21"/>
          <w:highlight w:val="none"/>
        </w:rPr>
        <w:t>应避免使用粘合剂</w:t>
      </w:r>
      <w:r>
        <w:rPr>
          <w:rFonts w:hint="eastAsia" w:asciiTheme="minorEastAsia" w:hAnsiTheme="minorEastAsia" w:eastAsiaTheme="minorEastAsia" w:cstheme="minorEastAsia"/>
          <w:szCs w:val="21"/>
          <w:highlight w:val="none"/>
        </w:rPr>
        <w:t>，并避免连接处发生渗漏。井管连接后，各井管轴心线应保持一致。</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（2）滤水管</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滤水管设计滤水管的型号、材质等应与井管匹配，具体设计要求如下：</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①为了避免钻穿含水层底板，地下水水位以下的滤水管长度不宜超过3m，并根据现场含水层分布和甲方的调查方案确定。地下水水位以上的滤水管长度根据地下水水位动态变化确定。</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②滤水管应置于拟取样含水层中以取得代表性水样。若地下水中可能或已经发现存在低密度非水相液体（LNAPL），滤水管位置应达到潜水面处；若地下水中可能或已经发现存在高密度非水相液体（DNAPL），滤水管应达到潜水层的底部，但应避免穿透隔水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③宜选用缝宽0.2mm~0.5mm的割缝筛管或孔隙能够阻挡90%的滤层材料的滤水管，割缝筛管具体选择依据见表2。滤水管钻孔直径不超过5mm，钻孔之间距离在10mm~20mm，滤水管外以细铁丝包裹和固定2~3层的40目钢丝网或尼龙网。</w:t>
      </w:r>
    </w:p>
    <w:p>
      <w:pPr>
        <w:pStyle w:val="67"/>
        <w:spacing w:line="460" w:lineRule="exac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 xml:space="preserve">表 </w:t>
      </w:r>
      <w:r>
        <w:rPr>
          <w:rFonts w:hint="eastAsia" w:asciiTheme="minorEastAsia" w:hAnsiTheme="minorEastAsia" w:eastAsiaTheme="minorEastAsia" w:cstheme="minorEastAsia"/>
          <w:szCs w:val="21"/>
          <w:highlight w:val="none"/>
        </w:rPr>
        <w:fldChar w:fldCharType="begin"/>
      </w:r>
      <w:r>
        <w:rPr>
          <w:rFonts w:hint="eastAsia" w:asciiTheme="minorEastAsia" w:hAnsiTheme="minorEastAsia" w:eastAsiaTheme="minorEastAsia" w:cstheme="minorEastAsia"/>
          <w:szCs w:val="21"/>
          <w:highlight w:val="none"/>
        </w:rPr>
        <w:instrText xml:space="preserve"> SEQ 表 \* ARABIC </w:instrText>
      </w:r>
      <w:r>
        <w:rPr>
          <w:rFonts w:hint="eastAsia" w:asciiTheme="minorEastAsia" w:hAnsiTheme="minorEastAsia" w:eastAsiaTheme="minorEastAsia" w:cstheme="minorEastAsia"/>
          <w:szCs w:val="21"/>
          <w:highlight w:val="none"/>
        </w:rPr>
        <w:fldChar w:fldCharType="separate"/>
      </w:r>
      <w:r>
        <w:rPr>
          <w:rFonts w:hint="eastAsia" w:asciiTheme="minorEastAsia" w:hAnsiTheme="minorEastAsia" w:eastAsiaTheme="minorEastAsia" w:cstheme="minorEastAsia"/>
          <w:szCs w:val="21"/>
          <w:highlight w:val="none"/>
        </w:rPr>
        <w:t>2</w:t>
      </w:r>
      <w:r>
        <w:rPr>
          <w:rFonts w:hint="eastAsia" w:asciiTheme="minorEastAsia" w:hAnsiTheme="minorEastAsia" w:eastAsiaTheme="minorEastAsia" w:cstheme="minorEastAsia"/>
          <w:szCs w:val="21"/>
          <w:highlight w:val="none"/>
        </w:rPr>
        <w:fldChar w:fldCharType="end"/>
      </w:r>
      <w:r>
        <w:rPr>
          <w:rFonts w:hint="eastAsia" w:asciiTheme="minorEastAsia" w:hAnsiTheme="minorEastAsia" w:eastAsiaTheme="minorEastAsia" w:cstheme="minorEastAsia"/>
          <w:szCs w:val="21"/>
          <w:highlight w:val="none"/>
        </w:rPr>
        <w:t xml:space="preserve"> 割缝筛管选择要求</w:t>
      </w:r>
    </w:p>
    <w:tbl>
      <w:tblPr>
        <w:tblStyle w:val="22"/>
        <w:tblW w:w="5000" w:type="pct"/>
        <w:jc w:val="center"/>
        <w:tblLayout w:type="fixed"/>
        <w:tblCellMar>
          <w:top w:w="0" w:type="dxa"/>
          <w:left w:w="0" w:type="dxa"/>
          <w:bottom w:w="0" w:type="dxa"/>
          <w:right w:w="0" w:type="dxa"/>
        </w:tblCellMar>
      </w:tblPr>
      <w:tblGrid>
        <w:gridCol w:w="3500"/>
        <w:gridCol w:w="2122"/>
        <w:gridCol w:w="1697"/>
        <w:gridCol w:w="1718"/>
      </w:tblGrid>
      <w:tr>
        <w:tblPrEx>
          <w:tblCellMar>
            <w:top w:w="0" w:type="dxa"/>
            <w:left w:w="0" w:type="dxa"/>
            <w:bottom w:w="0" w:type="dxa"/>
            <w:right w:w="0" w:type="dxa"/>
          </w:tblCellMar>
        </w:tblPrEx>
        <w:trPr>
          <w:trHeight w:val="340" w:hRule="atLeast"/>
          <w:jc w:val="center"/>
        </w:trPr>
        <w:tc>
          <w:tcPr>
            <w:tcW w:w="3213"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割缝筛管类型</w:t>
            </w:r>
          </w:p>
        </w:tc>
        <w:tc>
          <w:tcPr>
            <w:tcW w:w="5083" w:type="dxa"/>
            <w:gridSpan w:val="3"/>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含水层类型</w:t>
            </w:r>
          </w:p>
        </w:tc>
      </w:tr>
      <w:tr>
        <w:tblPrEx>
          <w:tblCellMar>
            <w:top w:w="0" w:type="dxa"/>
            <w:left w:w="0" w:type="dxa"/>
            <w:bottom w:w="0" w:type="dxa"/>
            <w:right w:w="0" w:type="dxa"/>
          </w:tblCellMar>
        </w:tblPrEx>
        <w:trPr>
          <w:trHeight w:val="340" w:hRule="atLeast"/>
          <w:jc w:val="center"/>
        </w:trPr>
        <w:tc>
          <w:tcPr>
            <w:tcW w:w="3213"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948"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均匀的中粗砂</w:t>
            </w:r>
          </w:p>
        </w:tc>
        <w:tc>
          <w:tcPr>
            <w:tcW w:w="3135" w:type="dxa"/>
            <w:gridSpan w:val="2"/>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非均匀的</w:t>
            </w:r>
          </w:p>
        </w:tc>
      </w:tr>
      <w:tr>
        <w:tblPrEx>
          <w:tblCellMar>
            <w:top w:w="0" w:type="dxa"/>
            <w:left w:w="0" w:type="dxa"/>
            <w:bottom w:w="0" w:type="dxa"/>
            <w:right w:w="0" w:type="dxa"/>
          </w:tblCellMar>
        </w:tblPrEx>
        <w:trPr>
          <w:trHeight w:val="340" w:hRule="atLeast"/>
          <w:jc w:val="center"/>
        </w:trPr>
        <w:tc>
          <w:tcPr>
            <w:tcW w:w="3213"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948"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中砂</w:t>
            </w:r>
          </w:p>
        </w:tc>
        <w:tc>
          <w:tcPr>
            <w:tcW w:w="157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粗砂</w:t>
            </w:r>
          </w:p>
        </w:tc>
      </w:tr>
      <w:tr>
        <w:trPr>
          <w:trHeight w:val="340" w:hRule="atLeast"/>
          <w:jc w:val="center"/>
        </w:trPr>
        <w:tc>
          <w:tcPr>
            <w:tcW w:w="3213"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包网割缝筛管</w:t>
            </w:r>
          </w:p>
        </w:tc>
        <w:tc>
          <w:tcPr>
            <w:tcW w:w="194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δ=(1.5~2)d50</w:t>
            </w:r>
          </w:p>
        </w:tc>
        <w:tc>
          <w:tcPr>
            <w:tcW w:w="1558"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δ=d40~d50</w:t>
            </w:r>
          </w:p>
        </w:tc>
        <w:tc>
          <w:tcPr>
            <w:tcW w:w="1577"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δ=d30~d40</w:t>
            </w:r>
          </w:p>
        </w:tc>
      </w:tr>
      <w:tr>
        <w:tblPrEx>
          <w:tblCellMar>
            <w:top w:w="0" w:type="dxa"/>
            <w:left w:w="0" w:type="dxa"/>
            <w:bottom w:w="0" w:type="dxa"/>
            <w:right w:w="0" w:type="dxa"/>
          </w:tblCellMar>
        </w:tblPrEx>
        <w:trPr>
          <w:trHeight w:val="340" w:hRule="atLeast"/>
          <w:jc w:val="center"/>
        </w:trPr>
        <w:tc>
          <w:tcPr>
            <w:tcW w:w="3213"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缠丝割缝筛管或其他割缝筛管</w:t>
            </w:r>
          </w:p>
        </w:tc>
        <w:tc>
          <w:tcPr>
            <w:tcW w:w="194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δ=(1~1.5)d50</w:t>
            </w:r>
          </w:p>
        </w:tc>
        <w:tc>
          <w:tcPr>
            <w:tcW w:w="1558"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577"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r>
      <w:tr>
        <w:tblPrEx>
          <w:tblCellMar>
            <w:top w:w="0" w:type="dxa"/>
            <w:left w:w="0" w:type="dxa"/>
            <w:bottom w:w="0" w:type="dxa"/>
            <w:right w:w="0" w:type="dxa"/>
          </w:tblCellMar>
        </w:tblPrEx>
        <w:trPr>
          <w:trHeight w:val="340" w:hRule="atLeast"/>
          <w:jc w:val="center"/>
        </w:trPr>
        <w:tc>
          <w:tcPr>
            <w:tcW w:w="8296" w:type="dxa"/>
            <w:gridSpan w:val="4"/>
            <w:tcBorders>
              <w:top w:val="single" w:color="000000" w:sz="4" w:space="0"/>
              <w:left w:val="single" w:color="000000" w:sz="4" w:space="0"/>
              <w:bottom w:val="single" w:color="000000" w:sz="4" w:space="0"/>
              <w:right w:val="single" w:color="000000" w:sz="4" w:space="0"/>
            </w:tcBorders>
            <w:vAlign w:val="center"/>
          </w:tcPr>
          <w:p>
            <w:pPr>
              <w:pStyle w:val="68"/>
              <w:spacing w:line="46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注：δ为滤缝宽度；d30、d40、d50分别为含水层试样在筛分时能通过筛眼的颗粒累计重量占试样全重分别为30%、40%、50%时的筛眼直径。</w:t>
            </w:r>
          </w:p>
        </w:tc>
      </w:tr>
    </w:tbl>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④沉淀管的长度一般为50cm。若含水层厚度超过3m，地下水采样井原则上可以不设沉淀管，但滤水管底部必须用管堵密封。</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（3）填料</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地下水采样井填料从下至上依次为滤料层、止水层、回填层，各层填料要求如下：</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①滤料层应从沉淀管（或管堵）底部一定距离到滤水管顶部以上50cm。滤料层超出部分可容许在成井、洗井的过程中有少量的细颗粒土壤进入滤料层。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②滤料层材料宜选择球度与圆度好、无污染的石英砂，使用前应经过筛选和清洗，避免影响地下水水质。滤料的粒径根据目标含水层土壤的粒度确定，一般以1mm~2mm粒径为宜，具体可参照表3。</w:t>
      </w:r>
    </w:p>
    <w:p>
      <w:pPr>
        <w:pStyle w:val="67"/>
        <w:spacing w:line="460" w:lineRule="exac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 xml:space="preserve">表 </w:t>
      </w:r>
      <w:r>
        <w:rPr>
          <w:rFonts w:hint="eastAsia" w:asciiTheme="minorEastAsia" w:hAnsiTheme="minorEastAsia" w:eastAsiaTheme="minorEastAsia" w:cstheme="minorEastAsia"/>
          <w:szCs w:val="21"/>
          <w:highlight w:val="none"/>
        </w:rPr>
        <w:fldChar w:fldCharType="begin"/>
      </w:r>
      <w:r>
        <w:rPr>
          <w:rFonts w:hint="eastAsia" w:asciiTheme="minorEastAsia" w:hAnsiTheme="minorEastAsia" w:eastAsiaTheme="minorEastAsia" w:cstheme="minorEastAsia"/>
          <w:szCs w:val="21"/>
          <w:highlight w:val="none"/>
        </w:rPr>
        <w:instrText xml:space="preserve"> SEQ 表 \* ARABIC </w:instrText>
      </w:r>
      <w:r>
        <w:rPr>
          <w:rFonts w:hint="eastAsia" w:asciiTheme="minorEastAsia" w:hAnsiTheme="minorEastAsia" w:eastAsiaTheme="minorEastAsia" w:cstheme="minorEastAsia"/>
          <w:szCs w:val="21"/>
          <w:highlight w:val="none"/>
        </w:rPr>
        <w:fldChar w:fldCharType="separate"/>
      </w:r>
      <w:r>
        <w:rPr>
          <w:rFonts w:hint="eastAsia" w:asciiTheme="minorEastAsia" w:hAnsiTheme="minorEastAsia" w:eastAsiaTheme="minorEastAsia" w:cstheme="minorEastAsia"/>
          <w:szCs w:val="21"/>
          <w:highlight w:val="none"/>
        </w:rPr>
        <w:t>3</w:t>
      </w:r>
      <w:r>
        <w:rPr>
          <w:rFonts w:hint="eastAsia" w:asciiTheme="minorEastAsia" w:hAnsiTheme="minorEastAsia" w:eastAsiaTheme="minorEastAsia" w:cstheme="minorEastAsia"/>
          <w:szCs w:val="21"/>
          <w:highlight w:val="none"/>
        </w:rPr>
        <w:fldChar w:fldCharType="end"/>
      </w:r>
      <w:r>
        <w:rPr>
          <w:rFonts w:hint="eastAsia" w:asciiTheme="minorEastAsia" w:hAnsiTheme="minorEastAsia" w:eastAsiaTheme="minorEastAsia" w:cstheme="minorEastAsia"/>
          <w:szCs w:val="21"/>
          <w:highlight w:val="none"/>
        </w:rPr>
        <w:t xml:space="preserve"> 滤料直径的选择</w:t>
      </w:r>
    </w:p>
    <w:tbl>
      <w:tblPr>
        <w:tblStyle w:val="22"/>
        <w:tblW w:w="5000" w:type="pct"/>
        <w:jc w:val="center"/>
        <w:tblLayout w:type="fixed"/>
        <w:tblCellMar>
          <w:top w:w="0" w:type="dxa"/>
          <w:left w:w="0" w:type="dxa"/>
          <w:bottom w:w="0" w:type="dxa"/>
          <w:right w:w="0" w:type="dxa"/>
        </w:tblCellMar>
      </w:tblPr>
      <w:tblGrid>
        <w:gridCol w:w="3217"/>
        <w:gridCol w:w="1979"/>
        <w:gridCol w:w="2132"/>
        <w:gridCol w:w="1708"/>
      </w:tblGrid>
      <w:tr>
        <w:tblPrEx>
          <w:tblCellMar>
            <w:top w:w="0" w:type="dxa"/>
            <w:left w:w="0" w:type="dxa"/>
            <w:bottom w:w="0" w:type="dxa"/>
            <w:right w:w="0" w:type="dxa"/>
          </w:tblCellMar>
        </w:tblPrEx>
        <w:trPr>
          <w:trHeight w:val="567" w:hRule="atLeast"/>
          <w:jc w:val="center"/>
        </w:trPr>
        <w:tc>
          <w:tcPr>
            <w:tcW w:w="2954"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含水层类型</w:t>
            </w:r>
          </w:p>
        </w:tc>
        <w:tc>
          <w:tcPr>
            <w:tcW w:w="181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砂土类含水层</w:t>
            </w:r>
          </w:p>
        </w:tc>
        <w:tc>
          <w:tcPr>
            <w:tcW w:w="3525" w:type="dxa"/>
            <w:gridSpan w:val="2"/>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碎石土类含水层</w:t>
            </w:r>
          </w:p>
        </w:tc>
      </w:tr>
      <w:tr>
        <w:tblPrEx>
          <w:tblCellMar>
            <w:top w:w="0" w:type="dxa"/>
            <w:left w:w="0" w:type="dxa"/>
            <w:bottom w:w="0" w:type="dxa"/>
            <w:right w:w="0" w:type="dxa"/>
          </w:tblCellMar>
        </w:tblPrEx>
        <w:trPr>
          <w:trHeight w:val="567" w:hRule="atLeast"/>
          <w:jc w:val="center"/>
        </w:trPr>
        <w:tc>
          <w:tcPr>
            <w:tcW w:w="2954"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81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η1&lt;10</w:t>
            </w:r>
          </w:p>
        </w:tc>
        <w:tc>
          <w:tcPr>
            <w:tcW w:w="195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d20&lt;2mm</w:t>
            </w:r>
          </w:p>
        </w:tc>
        <w:tc>
          <w:tcPr>
            <w:tcW w:w="156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d20≥2mm</w:t>
            </w:r>
          </w:p>
        </w:tc>
      </w:tr>
      <w:tr>
        <w:tblPrEx>
          <w:tblCellMar>
            <w:top w:w="0" w:type="dxa"/>
            <w:left w:w="0" w:type="dxa"/>
            <w:bottom w:w="0" w:type="dxa"/>
            <w:right w:w="0" w:type="dxa"/>
          </w:tblCellMar>
        </w:tblPrEx>
        <w:trPr>
          <w:trHeight w:val="511" w:hRule="atLeast"/>
          <w:jc w:val="center"/>
        </w:trPr>
        <w:tc>
          <w:tcPr>
            <w:tcW w:w="2954"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滤料的尺寸（D）</w:t>
            </w:r>
          </w:p>
        </w:tc>
        <w:tc>
          <w:tcPr>
            <w:tcW w:w="181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D50=（6~8）d50mm</w:t>
            </w:r>
          </w:p>
        </w:tc>
        <w:tc>
          <w:tcPr>
            <w:tcW w:w="195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D50=（6~8）d20mm</w:t>
            </w:r>
          </w:p>
        </w:tc>
        <w:tc>
          <w:tcPr>
            <w:tcW w:w="156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D=10~20mm</w:t>
            </w:r>
          </w:p>
        </w:tc>
      </w:tr>
      <w:tr>
        <w:tblPrEx>
          <w:tblCellMar>
            <w:top w:w="0" w:type="dxa"/>
            <w:left w:w="0" w:type="dxa"/>
            <w:bottom w:w="0" w:type="dxa"/>
            <w:right w:w="0" w:type="dxa"/>
          </w:tblCellMar>
        </w:tblPrEx>
        <w:trPr>
          <w:trHeight w:val="567" w:hRule="atLeast"/>
          <w:jc w:val="center"/>
        </w:trPr>
        <w:tc>
          <w:tcPr>
            <w:tcW w:w="2954"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滤料的η2要求</w:t>
            </w:r>
          </w:p>
        </w:tc>
        <w:tc>
          <w:tcPr>
            <w:tcW w:w="5342" w:type="dxa"/>
            <w:gridSpan w:val="3"/>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η2&lt;10</w:t>
            </w:r>
          </w:p>
        </w:tc>
      </w:tr>
      <w:tr>
        <w:tblPrEx>
          <w:tblCellMar>
            <w:top w:w="0" w:type="dxa"/>
            <w:left w:w="0" w:type="dxa"/>
            <w:bottom w:w="0" w:type="dxa"/>
            <w:right w:w="0" w:type="dxa"/>
          </w:tblCellMar>
        </w:tblPrEx>
        <w:trPr>
          <w:trHeight w:val="567" w:hRule="atLeast"/>
          <w:jc w:val="center"/>
        </w:trPr>
        <w:tc>
          <w:tcPr>
            <w:tcW w:w="8296" w:type="dxa"/>
            <w:gridSpan w:val="4"/>
            <w:tcBorders>
              <w:top w:val="single" w:color="000000" w:sz="4" w:space="0"/>
              <w:left w:val="single" w:color="000000" w:sz="4" w:space="0"/>
              <w:bottom w:val="single" w:color="000000" w:sz="4" w:space="0"/>
              <w:right w:val="single" w:color="000000" w:sz="4" w:space="0"/>
            </w:tcBorders>
            <w:vAlign w:val="center"/>
          </w:tcPr>
          <w:p>
            <w:pPr>
              <w:pStyle w:val="68"/>
              <w:spacing w:line="46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注：①表中η1和η2分别为含水层和滤料的不均匀系数。即η1=d60/d10；η2=D60/D10。</w:t>
            </w:r>
          </w:p>
          <w:p>
            <w:pPr>
              <w:pStyle w:val="68"/>
              <w:spacing w:line="460" w:lineRule="exact"/>
              <w:ind w:firstLine="420" w:firstLineChars="20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②d10，d20，d50，d60和D10，D50，D60分别为含水层试样和滤料试样在筛分时能通过筛眼的颗粒累。</w:t>
            </w:r>
          </w:p>
          <w:p>
            <w:pPr>
              <w:pStyle w:val="68"/>
              <w:spacing w:line="46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计重量占筛样全重依次为10%，20%，50%，60%时的筛眼直径。</w:t>
            </w:r>
          </w:p>
        </w:tc>
      </w:tr>
    </w:tbl>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③止水层主要用于防止滤料层以上的外来水通过滤料层进入井内。止水部位应根据钻孔含水层的分布情况确定，一般选择在隔水层或弱透水层处。</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止水层的填充高度应达到滤料层以上50cm。为了保证止水效果，建议选用直径20mm~40mm球状膨润土分两段进行填充，第一段从滤料层往上填充不小于30cm的干膨润土，然后采用加水膨润土或膨润土浆继续填充至距离地面50cm处。</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④回填层位于止水层之上至采样井顶部，宜根据场地条件选择合适的回填材料。优先选用膨润土作为回填材料，当地下水含有可能导致膨润土水化不良的成分时，宜选择混凝土浆作为回填材料。使用混凝土浆作为回填材料时，为延缓固化时间，可在混凝土浆中添加5%~10%的膨润土。</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（4）井口保护装置要求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为保护监测井，应建设监测井井口保护装置，包括井口保护筒、井台或井盖等部分。监测井保护装置应坚固耐用、不易被破坏。</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井台采用C20商品砼，尺寸为100cm*100cm*50cm，含模板（警示牌）及四周护栏，水泥平台四角须磨圆。</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②井口保护筒宜使用不锈钢材质，井盖中心部分应采用高密度树脂材料，避免数据无线传输信号被屏蔽，井盖需加异型安全锁，依据井管直径，保护筒内径为16cm，高为50cm，厚为2mm，保护筒下部应埋入水泥平台中10cm固定</w:t>
      </w:r>
      <w:bookmarkStart w:id="1" w:name="_Hlk137024082"/>
      <w:r>
        <w:rPr>
          <w:rFonts w:hint="eastAsia" w:asciiTheme="minorEastAsia" w:hAnsiTheme="minorEastAsia" w:eastAsiaTheme="minorEastAsia" w:cstheme="minorEastAsia"/>
          <w:szCs w:val="21"/>
          <w:highlight w:val="none"/>
        </w:rPr>
        <w:t>。</w:t>
      </w:r>
      <w:bookmarkEnd w:id="1"/>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（二）地下水采样井建设要求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采样井建设过程包括钻孔、下管、填充滤料、密封止水、井台构筑（长期监测井需要）、成井洗井、封井等步骤，具体要求如下：</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（1）钻孔直径应至少大于井管直径63mm。钻孔达到设定深度后进行钻孔掏洗，以清除钻孔中的泥浆和钻屑，然后静置2h~3h并记录静止水位。</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下管前应校正孔深，按先后次序将井管逐根丈量、排列、编号、试扣，确保下管深度和滤水管安装位置准确无误。井管下放速度不宜太快，中途遇阻时可适当上下提动和转动井管，必要时应将井管提出，清除孔内障碍后再下管。下管完成后，将其扶正、固定，井管应与钻孔轴心重合。</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使用导砂管将滤料缓慢填充至管壁与孔壁中的环形空隙内，应沿着井管四周均匀填充，避免从单一方位填入，一边填充一边晃动井管，防止滤料填充时形成架桥或卡锁现象。滤料填充过程应进行测量，确保滤料填充至设计高度。</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密封止水应从滤料层往上填充，直至距离地面50cm。若采用膨润土球作为止水材料，每填充10cm需向钻孔中均匀注入少量的清洁水，填充过程中应进行测量，确保止水材料填充至设计高度，静置待膨润土充分膨胀、水化和凝结（具体根据膨润土供应厂商建议时间调整）,然后回填混凝土浆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（5）地下水采样井建成至少24h后（待井内的填料得到充分养护、稳定后）才能进行洗井。</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洗井时一般控制流速不超过3.8L/min，成井洗井达标直观判断水质基本上达到水清砂净（即基本透明无色、无沉砂），洗井抽出水量不小于井内水体积的3倍。同时监测pH值、电导率、浊度、水温等参数值达到稳定（连续三次监测数值浮动在±10%以内），或浊度小于50NTU，。避免使用大流量抽水或高气压气提的洗井设备,以免损坏滤水管和滤料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（6）洗井过程要防止交叉污染，贝勒管洗井时应一井一管，气囊泵、潜水泵在洗井前要清洗泵体和管线，清洗废水要收集处置。</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7）成井后测量记录点位坐标及管口高程，填写成井记录单、地下水采样井洗井记录单；成井过程中对井管处理（滤水管钻孔或割缝、包网处理、井管连接等））、滤料填充和止水材料、洗井作业和洗井合格出水、井台构筑（含井牌）等关键环节或信息应拍照记录，每个环节不少于1张照片，以备质量控制。</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（8）封井</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采样完成后，非长期监测的采样井应进行封井。封井应从井底至地面下50cm全部用直径为20mm~40mm的优质无污染的膨润土球封堵。</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膨润土球一般采用提拉式填充，将直径小于井内径的硬质细管提前下入井中（根据现场情况尽量选择小直径细管），向细管与井壁的环形空间填充一定量的膨润土球，然后缓慢向上提管，反复抽提防止井下搭桥，确保膨润土球全部落入井中，再进行下一批次膨润土球的填充。</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全部膨润土球填充完成后应静置24h，测量膨润土填充高度，判断是否达到预定封井高度，并于7天后再次检查封井情况，如发现塌陷应立即补填，直至符合规定要求。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将井管高于地面部分进行切割，按照膨润土球填充的操作规程，从膨润土封层向上至地面注入混凝土浆进行封固。</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（三）二次污染防治要求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钻探及建井产生的废土、泥浆和洗井废水应统一收集并合法合规处理，不得随意丢弃；对废弃的一次性手套、口罩等个人防护用品应按照一般固体废物处置要求进行收集处置。采样过程中产生的类似措施费均由钻探单位自行承担。</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（2）产生泥浆的点位，需铺设防雨布等防护材料，禁止泥浆随意流淌，禁止污染草地和路面；</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（3）施工单位负责施工现场清洁工作，建设的每口井周边铺设彩条布，收集废土。泥土等严禁携带到路面，建井单位负责清扫处置，并提供相关的台账记录和图/视频证明。</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（四）其他技术要求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中标人现场需安排1名专门项目经理，负责与我单位现场负责人员对接，由项目经理每日上报当天建井工作量；现场钻探过程中有出现点位编号位置更改等情况，修改内容当日形成书面内容上报，并统一整理成专项记录以备查。</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现场工作必须按照最新的国家及地方相关法律法规开展，包括但不限于《建设用地土壤污染状况调查质量控制技术规定（试行）》、《建设用地土壤污染状况初步调查监督检查工作指南（试行）》等相关规定。</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（3）甲方协助乙方对接确认建井点位地下管线情况，但不最终确认，若施工过程造成管线破损，造成的损失由乙方负责。</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（4）现场施工造成的一切损失，均由乙方负责承担。</w:t>
      </w:r>
    </w:p>
    <w:p>
      <w:pPr>
        <w:spacing w:line="460" w:lineRule="exact"/>
        <w:ind w:firstLine="560"/>
        <w:rPr>
          <w:rFonts w:ascii="宋体" w:hAnsi="宋体" w:cs="宋体"/>
          <w:b/>
          <w:bCs/>
          <w:szCs w:val="21"/>
          <w:highlight w:val="none"/>
        </w:rPr>
      </w:pPr>
      <w:r>
        <w:rPr>
          <w:rFonts w:hint="eastAsia" w:asciiTheme="minorEastAsia" w:hAnsiTheme="minorEastAsia" w:eastAsiaTheme="minorEastAsia" w:cstheme="minorEastAsia"/>
          <w:szCs w:val="21"/>
          <w:highlight w:val="none"/>
        </w:rPr>
        <w:t>（5）长期监测井需做好定期维护，包含井台维修，保护筒、安全锁和警示牌更换，满足5年长期监测的采样要求。</w:t>
      </w:r>
    </w:p>
    <w:p>
      <w:pPr>
        <w:spacing w:line="420" w:lineRule="exact"/>
        <w:rPr>
          <w:rFonts w:ascii="宋体" w:hAnsi="宋体" w:cs="宋体"/>
          <w:b/>
          <w:bCs/>
          <w:szCs w:val="21"/>
          <w:highlight w:val="none"/>
        </w:rPr>
      </w:pPr>
      <w:r>
        <w:rPr>
          <w:rFonts w:hint="eastAsia" w:ascii="宋体" w:hAnsi="宋体" w:cs="宋体"/>
          <w:b/>
          <w:bCs/>
          <w:szCs w:val="21"/>
          <w:highlight w:val="none"/>
        </w:rPr>
        <w:t>七、保密要求：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（1）成交供应商负责对采购人所提供资料及最终成果保密，成交供应商及其专业技术人员需遵守采购人的保密规定，不以任何形式将收集的所有资料、数据等进行泄漏、传播。</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（2）项目服务人员需签署相关保密协议，承担工作中接触相关内容的保密义务。</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（3）成交供应商须维护项目服务成果，不得转让给第三方使用。</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（4）以上保密规定如有违反，采购人有权追究成交供应商相关法律责任并有权不进行费用结算。</w:t>
      </w:r>
    </w:p>
    <w:p>
      <w:pPr>
        <w:spacing w:line="420" w:lineRule="exact"/>
        <w:rPr>
          <w:rFonts w:ascii="宋体" w:hAnsi="宋体" w:cs="宋体"/>
          <w:b/>
          <w:bCs/>
          <w:szCs w:val="21"/>
          <w:highlight w:val="none"/>
        </w:rPr>
      </w:pPr>
      <w:r>
        <w:rPr>
          <w:rFonts w:hint="eastAsia" w:ascii="宋体" w:hAnsi="宋体" w:cs="宋体"/>
          <w:b/>
          <w:bCs/>
          <w:szCs w:val="21"/>
          <w:highlight w:val="none"/>
        </w:rPr>
        <w:t>八、付款方式：</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中标人完成现场全部工作，提供全部技术资料（盖章件），甲方确认乙方结算申请且具备结算条件后，甲方支付乙方实际结算价的50%；剩余50%款项在项目取得评审意见后6个月内支付。每次甲方支付前，乙方需开具正式发票。</w:t>
      </w:r>
    </w:p>
    <w:p>
      <w:pPr>
        <w:spacing w:line="420" w:lineRule="exact"/>
        <w:rPr>
          <w:rFonts w:ascii="宋体" w:hAnsi="宋体" w:cs="宋体"/>
          <w:b/>
          <w:bCs/>
          <w:szCs w:val="21"/>
          <w:highlight w:val="none"/>
        </w:rPr>
      </w:pPr>
      <w:r>
        <w:rPr>
          <w:rFonts w:hint="eastAsia" w:ascii="宋体" w:hAnsi="宋体" w:cs="宋体"/>
          <w:b/>
          <w:bCs/>
          <w:szCs w:val="21"/>
          <w:highlight w:val="none"/>
        </w:rPr>
        <w:t>九、 服务期限</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（1）服务期限为项目合同签订之日起至项目全部完成。</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（2）中标人应在接到采购方通知后2日内响应进场，钻探过程中中标人须无条件服从我方时间进度安排。</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（3）正式开工后，需配备至少2台钻机设备及班组同时进场作业，每个班组不少于4人，每批次现场工作结束后5日内提交所有材料电子稿和纸质稿。</w:t>
      </w:r>
    </w:p>
    <w:p>
      <w:pPr>
        <w:spacing w:line="420" w:lineRule="exact"/>
        <w:rPr>
          <w:rFonts w:ascii="宋体" w:hAnsi="宋体" w:cs="宋体"/>
          <w:b/>
          <w:bCs/>
          <w:szCs w:val="21"/>
          <w:highlight w:val="none"/>
        </w:rPr>
      </w:pPr>
      <w:bookmarkStart w:id="2" w:name="_Toc322436048"/>
      <w:bookmarkStart w:id="3" w:name="_Toc331061664"/>
      <w:bookmarkStart w:id="4" w:name="_Toc330998556"/>
      <w:bookmarkStart w:id="5" w:name="_Toc322435993"/>
      <w:bookmarkStart w:id="6" w:name="_Toc322436228"/>
      <w:bookmarkStart w:id="7" w:name="_Toc322435823"/>
      <w:r>
        <w:rPr>
          <w:rFonts w:hint="eastAsia" w:ascii="宋体" w:hAnsi="宋体" w:cs="宋体"/>
          <w:b/>
          <w:bCs/>
          <w:szCs w:val="21"/>
          <w:highlight w:val="none"/>
        </w:rPr>
        <w:t>十、评标办法</w:t>
      </w:r>
    </w:p>
    <w:p>
      <w:pPr>
        <w:spacing w:line="420" w:lineRule="exact"/>
        <w:ind w:firstLine="422" w:firstLineChars="200"/>
        <w:rPr>
          <w:rFonts w:ascii="宋体" w:hAnsi="宋体" w:cs="宋体"/>
          <w:b/>
          <w:bCs/>
          <w:szCs w:val="21"/>
          <w:highlight w:val="none"/>
        </w:rPr>
      </w:pPr>
      <w:r>
        <w:rPr>
          <w:rFonts w:hint="eastAsia" w:ascii="宋体" w:hAnsi="宋体" w:cs="宋体"/>
          <w:b/>
          <w:bCs/>
          <w:szCs w:val="21"/>
          <w:highlight w:val="none"/>
        </w:rPr>
        <w:t>本项目为询价项目，采用现场询价，确定中标单位原则：最低价评标法。</w:t>
      </w:r>
    </w:p>
    <w:bookmarkEnd w:id="2"/>
    <w:bookmarkEnd w:id="3"/>
    <w:bookmarkEnd w:id="4"/>
    <w:bookmarkEnd w:id="5"/>
    <w:bookmarkEnd w:id="6"/>
    <w:bookmarkEnd w:id="7"/>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p>
    <w:p>
      <w:pPr>
        <w:spacing w:line="420" w:lineRule="exact"/>
        <w:jc w:val="center"/>
        <w:rPr>
          <w:rFonts w:ascii="宋体" w:hAnsi="宋体" w:cs="宋体"/>
          <w:b/>
          <w:bCs/>
          <w:kern w:val="0"/>
          <w:sz w:val="30"/>
          <w:szCs w:val="30"/>
          <w:highlight w:val="none"/>
        </w:rPr>
      </w:pPr>
      <w:r>
        <w:rPr>
          <w:rFonts w:hint="eastAsia" w:ascii="宋体" w:hAnsi="宋体" w:cs="宋体"/>
          <w:b/>
          <w:bCs/>
          <w:kern w:val="0"/>
          <w:sz w:val="30"/>
          <w:szCs w:val="30"/>
          <w:highlight w:val="none"/>
        </w:rPr>
        <w:t>合同主要条款</w:t>
      </w:r>
    </w:p>
    <w:p>
      <w:pPr>
        <w:widowControl/>
        <w:snapToGrid w:val="0"/>
        <w:spacing w:line="420" w:lineRule="exact"/>
        <w:ind w:right="-154"/>
        <w:jc w:val="left"/>
        <w:rPr>
          <w:rFonts w:ascii="宋体" w:hAnsi="宋体" w:cs="宋体"/>
          <w:kern w:val="0"/>
          <w:szCs w:val="21"/>
          <w:highlight w:val="none"/>
        </w:rPr>
      </w:pPr>
    </w:p>
    <w:p>
      <w:pPr>
        <w:spacing w:line="440" w:lineRule="exact"/>
        <w:rPr>
          <w:rFonts w:ascii="宋体" w:hAnsi="宋体" w:cs="宋体"/>
          <w:szCs w:val="21"/>
          <w:highlight w:val="none"/>
        </w:rPr>
      </w:pPr>
      <w:r>
        <w:rPr>
          <w:rFonts w:hint="eastAsia" w:ascii="宋体" w:hAnsi="宋体" w:cs="宋体"/>
          <w:szCs w:val="21"/>
          <w:highlight w:val="none"/>
        </w:rPr>
        <w:t>甲方：常州环保服务有限公司（以下简称“甲方”）</w:t>
      </w:r>
    </w:p>
    <w:p>
      <w:pPr>
        <w:spacing w:line="440" w:lineRule="exact"/>
        <w:rPr>
          <w:rFonts w:ascii="宋体" w:hAnsi="宋体" w:cs="宋体"/>
          <w:szCs w:val="21"/>
          <w:highlight w:val="none"/>
        </w:rPr>
      </w:pPr>
      <w:r>
        <w:rPr>
          <w:rFonts w:hint="eastAsia" w:ascii="宋体" w:hAnsi="宋体" w:cs="宋体"/>
          <w:szCs w:val="21"/>
          <w:highlight w:val="none"/>
        </w:rPr>
        <w:t>乙方：                    （以下简称“乙方”）</w:t>
      </w:r>
    </w:p>
    <w:p>
      <w:pPr>
        <w:spacing w:line="440" w:lineRule="exact"/>
        <w:rPr>
          <w:rFonts w:ascii="宋体" w:hAnsi="宋体" w:cs="宋体"/>
          <w:szCs w:val="21"/>
          <w:highlight w:val="none"/>
        </w:rPr>
      </w:pPr>
      <w:r>
        <w:rPr>
          <w:rFonts w:hint="eastAsia" w:ascii="宋体" w:hAnsi="宋体" w:cs="宋体"/>
          <w:szCs w:val="21"/>
          <w:highlight w:val="none"/>
        </w:rPr>
        <w:t>代理机构：</w:t>
      </w:r>
    </w:p>
    <w:p>
      <w:pPr>
        <w:pStyle w:val="10"/>
        <w:spacing w:line="440" w:lineRule="exact"/>
        <w:ind w:firstLine="420" w:firstLineChars="200"/>
        <w:rPr>
          <w:rFonts w:hAnsi="宋体" w:cs="宋体"/>
          <w:bCs/>
          <w:highlight w:val="none"/>
        </w:rPr>
      </w:pPr>
      <w:r>
        <w:rPr>
          <w:rFonts w:hint="eastAsia" w:hAnsi="宋体" w:cs="宋体"/>
          <w:bCs/>
          <w:highlight w:val="none"/>
        </w:rPr>
        <w:t>甲乙双方依据《中华人民共和国民法典》等有关法律规定，遵循平等、自愿、公平和诚实信用的原则，经协商一致，订立常州市a地块北区地下水加密调查钻探服务项目项目合同，以便共同遵守。</w:t>
      </w:r>
    </w:p>
    <w:p>
      <w:pPr>
        <w:pStyle w:val="10"/>
        <w:numPr>
          <w:ilvl w:val="0"/>
          <w:numId w:val="3"/>
        </w:numPr>
        <w:spacing w:line="440" w:lineRule="exact"/>
        <w:ind w:firstLine="420" w:firstLineChars="200"/>
        <w:rPr>
          <w:rFonts w:hAnsi="宋体" w:cs="宋体"/>
          <w:highlight w:val="none"/>
        </w:rPr>
      </w:pPr>
      <w:r>
        <w:rPr>
          <w:rFonts w:hint="eastAsia" w:hAnsi="宋体" w:cs="宋体"/>
          <w:highlight w:val="none"/>
        </w:rPr>
        <w:t>服务内容、形式和要求：</w:t>
      </w:r>
    </w:p>
    <w:p>
      <w:pPr>
        <w:pStyle w:val="10"/>
        <w:spacing w:line="440" w:lineRule="exact"/>
        <w:ind w:firstLine="420" w:firstLineChars="200"/>
        <w:rPr>
          <w:rFonts w:hAnsi="宋体" w:cs="宋体"/>
          <w:highlight w:val="none"/>
        </w:rPr>
      </w:pPr>
      <w:r>
        <w:rPr>
          <w:rFonts w:hint="eastAsia" w:hAnsi="宋体" w:cs="宋体"/>
          <w:highlight w:val="none"/>
        </w:rPr>
        <w:t>（一）服务内容：</w:t>
      </w:r>
    </w:p>
    <w:p>
      <w:pPr>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乙方应按照甲方出具的检测清单开展工作，主要包括以下内容：</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（1）地下水监测井建设：RTK放样测量，计划布设地下水检测点位28个，建井总深度约352m（成孔口径200mm；UPVC管,口径为63mm，壁厚3mm，并满足现场实际施工条件）。</w:t>
      </w:r>
    </w:p>
    <w:p>
      <w:pPr>
        <w:widowControl/>
        <w:snapToGrid w:val="0"/>
        <w:spacing w:line="460" w:lineRule="exact"/>
        <w:ind w:right="-153" w:firstLine="527" w:firstLineChars="250"/>
        <w:jc w:val="center"/>
        <w:rPr>
          <w:rFonts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地下水监测井建设参数</w:t>
      </w:r>
    </w:p>
    <w:tbl>
      <w:tblPr>
        <w:tblStyle w:val="22"/>
        <w:tblW w:w="504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49"/>
        <w:gridCol w:w="1200"/>
        <w:gridCol w:w="1504"/>
        <w:gridCol w:w="1504"/>
        <w:gridCol w:w="1501"/>
        <w:gridCol w:w="286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序号</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建井深度</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数量</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开筛位置</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沉淀管位置</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开筛位置土层情况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4.5m</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8</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1.5-4.0m</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4.0-4.5m</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②黏土、③粉质黏土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10m</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14</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6.5-9.5m</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9.5-10.0m</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③粉质黏土、④砂质粉土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3</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20m</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3</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14.5-19.5m</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19.5-20.0m</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④砂质粉土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02"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4</w:t>
            </w:r>
          </w:p>
        </w:tc>
        <w:tc>
          <w:tcPr>
            <w:tcW w:w="64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28m</w:t>
            </w:r>
          </w:p>
        </w:tc>
        <w:tc>
          <w:tcPr>
            <w:tcW w:w="807" w:type="pct"/>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3</w:t>
            </w:r>
          </w:p>
        </w:tc>
        <w:tc>
          <w:tcPr>
            <w:tcW w:w="807"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22.5-27.5m</w:t>
            </w:r>
          </w:p>
        </w:tc>
        <w:tc>
          <w:tcPr>
            <w:tcW w:w="805"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27.5-28.0m</w:t>
            </w:r>
          </w:p>
        </w:tc>
        <w:tc>
          <w:tcPr>
            <w:tcW w:w="1534" w:type="pct"/>
            <w:shd w:val="clear" w:color="auto" w:fill="auto"/>
            <w:vAlign w:val="center"/>
          </w:tcPr>
          <w:p>
            <w:pPr>
              <w:widowControl/>
              <w:spacing w:line="460" w:lineRule="exact"/>
              <w:jc w:val="center"/>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⑥砂质粉土</w:t>
            </w:r>
          </w:p>
        </w:tc>
      </w:tr>
    </w:tbl>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（2）井台建设及维护：拟建设井台28个并配备井盖及标识，提供</w:t>
      </w:r>
      <w:r>
        <w:rPr>
          <w:rFonts w:hint="eastAsia" w:asciiTheme="minorEastAsia" w:hAnsiTheme="minorEastAsia" w:eastAsiaTheme="minorEastAsia" w:cstheme="minorEastAsia"/>
          <w:b/>
          <w:bCs/>
          <w:kern w:val="0"/>
          <w:szCs w:val="21"/>
          <w:highlight w:val="none"/>
        </w:rPr>
        <w:t>至少5年质量保证和维护</w:t>
      </w:r>
      <w:r>
        <w:rPr>
          <w:rFonts w:hint="eastAsia" w:asciiTheme="minorEastAsia" w:hAnsiTheme="minorEastAsia" w:eastAsiaTheme="minorEastAsia" w:cstheme="minorEastAsia"/>
          <w:kern w:val="0"/>
          <w:szCs w:val="21"/>
          <w:highlight w:val="none"/>
        </w:rPr>
        <w:t>，满足期间内监测采样要求。井台：C20商品砼，尺寸100cm*100cm*50cm，含模板及四周护栏；井盖：φ160mm不锈钢，内径160mm，厚2mm，含盖板、密码锁；标识：记录建井信息。</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（3）其他工作内容：本次调查计划分2批进场，设备进出场2次，预计使用1m3大挖机3个台班。采样过程需提供点位及现场钻探过程照片、钻孔和开筛记录、RTK测量、摄像视频等，并满足甲方技术要求。</w:t>
      </w:r>
    </w:p>
    <w:p>
      <w:pPr>
        <w:pStyle w:val="10"/>
        <w:spacing w:line="440" w:lineRule="exact"/>
        <w:ind w:firstLine="422" w:firstLineChars="200"/>
        <w:rPr>
          <w:rFonts w:hAnsi="宋体" w:cs="宋体"/>
          <w:b/>
          <w:bCs/>
          <w:highlight w:val="none"/>
        </w:rPr>
      </w:pPr>
      <w:r>
        <w:rPr>
          <w:rFonts w:hint="eastAsia" w:hAnsi="宋体" w:cs="宋体"/>
          <w:b/>
          <w:bCs/>
          <w:highlight w:val="none"/>
        </w:rPr>
        <w:t>报价清单详见附件</w:t>
      </w:r>
    </w:p>
    <w:p>
      <w:pPr>
        <w:pStyle w:val="10"/>
        <w:spacing w:line="440" w:lineRule="exact"/>
        <w:ind w:firstLine="420" w:firstLineChars="200"/>
        <w:rPr>
          <w:rFonts w:hAnsi="宋体" w:cs="宋体"/>
          <w:highlight w:val="none"/>
        </w:rPr>
      </w:pPr>
      <w:r>
        <w:rPr>
          <w:rFonts w:hint="eastAsia" w:hAnsi="宋体" w:cs="宋体"/>
          <w:highlight w:val="none"/>
        </w:rPr>
        <w:t>（二）现场管理：</w:t>
      </w:r>
    </w:p>
    <w:p>
      <w:pPr>
        <w:pStyle w:val="10"/>
        <w:spacing w:line="440" w:lineRule="exact"/>
        <w:ind w:firstLine="420" w:firstLineChars="200"/>
        <w:rPr>
          <w:rFonts w:hAnsi="宋体" w:cs="宋体"/>
          <w:highlight w:val="none"/>
        </w:rPr>
      </w:pPr>
      <w:r>
        <w:rPr>
          <w:rFonts w:hint="eastAsia" w:hAnsi="宋体" w:cs="宋体"/>
          <w:highlight w:val="none"/>
        </w:rPr>
        <w:t>乙方进场后必须遵守甲方对地块的管理。由于场地全封闭管理，乙方需确保进入施工场地随行人员无无关人员。</w:t>
      </w:r>
    </w:p>
    <w:p>
      <w:pPr>
        <w:pStyle w:val="10"/>
        <w:spacing w:line="440" w:lineRule="exact"/>
        <w:ind w:firstLine="420" w:firstLineChars="200"/>
        <w:rPr>
          <w:rFonts w:hAnsi="宋体" w:cs="宋体"/>
          <w:highlight w:val="none"/>
        </w:rPr>
      </w:pPr>
      <w:r>
        <w:rPr>
          <w:rFonts w:hint="eastAsia" w:hAnsi="宋体" w:cs="宋体"/>
          <w:highlight w:val="none"/>
        </w:rPr>
        <w:t>（三）技术要求：</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钻探单位应按照《重点行业企业用地调查疑似污染地块布点技术规定（试行）》、《建设用地土壤污染状况调查质量控制技术规定（试行）》等文件相关要求建设地下水监测井和做好二次污染防治工作，具体要求如下：</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（一）地下水采样井结构要求</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根据地下水采样目的，合理设计采样井结构，具体包括井管、滤水管、填料等。</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（1）井管</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①地下水采样井井管的内径要求不小于63mm。考虑到井管内径过大会导致地下水紊流，容易使土壤颗粒进入地下水中，故应在满足洗井和样品采集要求的前提下，尽量选择小口径井管。</w:t>
      </w:r>
    </w:p>
    <w:p>
      <w:pPr>
        <w:widowControl/>
        <w:snapToGrid w:val="0"/>
        <w:spacing w:line="460" w:lineRule="exact"/>
        <w:ind w:right="-153" w:firstLine="525" w:firstLineChars="25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②地下水采样井井管应选择坚固、耐腐蚀、不会对地下水水质造成污染的材料制成。当地下水检测项目为有机物或地下水需要长期监测时，宜选择不锈钢材质井管；当检测项目为无机物或地下水的腐蚀性较强时，宜选择聚氯乙烯（PVC）材质管件，井管材质选择具体参照表1。</w:t>
      </w:r>
    </w:p>
    <w:p>
      <w:pPr>
        <w:widowControl/>
        <w:snapToGrid w:val="0"/>
        <w:spacing w:line="460" w:lineRule="exact"/>
        <w:ind w:right="-153" w:firstLine="527" w:firstLineChars="250"/>
        <w:jc w:val="center"/>
        <w:rPr>
          <w:rFonts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 xml:space="preserve">表 </w:t>
      </w:r>
      <w:r>
        <w:rPr>
          <w:rFonts w:hint="eastAsia" w:asciiTheme="minorEastAsia" w:hAnsiTheme="minorEastAsia" w:eastAsiaTheme="minorEastAsia" w:cstheme="minorEastAsia"/>
          <w:b/>
          <w:bCs/>
          <w:kern w:val="0"/>
          <w:szCs w:val="21"/>
          <w:highlight w:val="none"/>
        </w:rPr>
        <w:fldChar w:fldCharType="begin"/>
      </w:r>
      <w:r>
        <w:rPr>
          <w:rFonts w:hint="eastAsia" w:asciiTheme="minorEastAsia" w:hAnsiTheme="minorEastAsia" w:eastAsiaTheme="minorEastAsia" w:cstheme="minorEastAsia"/>
          <w:b/>
          <w:bCs/>
          <w:kern w:val="0"/>
          <w:szCs w:val="21"/>
          <w:highlight w:val="none"/>
        </w:rPr>
        <w:instrText xml:space="preserve"> SEQ 表 \* ARABIC </w:instrText>
      </w:r>
      <w:r>
        <w:rPr>
          <w:rFonts w:hint="eastAsia" w:asciiTheme="minorEastAsia" w:hAnsiTheme="minorEastAsia" w:eastAsiaTheme="minorEastAsia" w:cstheme="minorEastAsia"/>
          <w:b/>
          <w:bCs/>
          <w:kern w:val="0"/>
          <w:szCs w:val="21"/>
          <w:highlight w:val="none"/>
        </w:rPr>
        <w:fldChar w:fldCharType="separate"/>
      </w:r>
      <w:r>
        <w:rPr>
          <w:rFonts w:hint="eastAsia" w:asciiTheme="minorEastAsia" w:hAnsiTheme="minorEastAsia" w:eastAsiaTheme="minorEastAsia" w:cstheme="minorEastAsia"/>
          <w:b/>
          <w:bCs/>
          <w:kern w:val="0"/>
          <w:szCs w:val="21"/>
          <w:highlight w:val="none"/>
        </w:rPr>
        <w:t>1</w:t>
      </w:r>
      <w:r>
        <w:rPr>
          <w:rFonts w:hint="eastAsia" w:asciiTheme="minorEastAsia" w:hAnsiTheme="minorEastAsia" w:eastAsiaTheme="minorEastAsia" w:cstheme="minorEastAsia"/>
          <w:b/>
          <w:bCs/>
          <w:kern w:val="0"/>
          <w:szCs w:val="21"/>
          <w:highlight w:val="none"/>
        </w:rPr>
        <w:fldChar w:fldCharType="end"/>
      </w:r>
      <w:r>
        <w:rPr>
          <w:rFonts w:hint="eastAsia" w:asciiTheme="minorEastAsia" w:hAnsiTheme="minorEastAsia" w:eastAsiaTheme="minorEastAsia" w:cstheme="minorEastAsia"/>
          <w:b/>
          <w:bCs/>
          <w:kern w:val="0"/>
          <w:szCs w:val="21"/>
          <w:highlight w:val="none"/>
        </w:rPr>
        <w:t xml:space="preserve"> 井管材质选择要求</w:t>
      </w:r>
    </w:p>
    <w:tbl>
      <w:tblPr>
        <w:tblStyle w:val="22"/>
        <w:tblW w:w="5171" w:type="pct"/>
        <w:jc w:val="center"/>
        <w:tblLayout w:type="autofit"/>
        <w:tblCellMar>
          <w:top w:w="0" w:type="dxa"/>
          <w:left w:w="0" w:type="dxa"/>
          <w:bottom w:w="0" w:type="dxa"/>
          <w:right w:w="0" w:type="dxa"/>
        </w:tblCellMar>
      </w:tblPr>
      <w:tblGrid>
        <w:gridCol w:w="1236"/>
        <w:gridCol w:w="1511"/>
        <w:gridCol w:w="5290"/>
        <w:gridCol w:w="1314"/>
      </w:tblGrid>
      <w:tr>
        <w:tblPrEx>
          <w:tblCellMar>
            <w:top w:w="0" w:type="dxa"/>
            <w:left w:w="0" w:type="dxa"/>
            <w:bottom w:w="0" w:type="dxa"/>
            <w:right w:w="0" w:type="dxa"/>
          </w:tblCellMar>
        </w:tblPrEx>
        <w:trPr>
          <w:trHeight w:val="712" w:hRule="atLeast"/>
          <w:tblHeader/>
          <w:jc w:val="center"/>
        </w:trPr>
        <w:tc>
          <w:tcPr>
            <w:tcW w:w="661" w:type="pct"/>
            <w:tcBorders>
              <w:top w:val="single" w:color="000000" w:sz="6" w:space="0"/>
              <w:left w:val="single" w:color="000000" w:sz="6"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地下水中污染物</w:t>
            </w:r>
          </w:p>
        </w:tc>
        <w:tc>
          <w:tcPr>
            <w:tcW w:w="808" w:type="pct"/>
            <w:tcBorders>
              <w:top w:val="single" w:color="000000" w:sz="6"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第一选择</w:t>
            </w:r>
          </w:p>
        </w:tc>
        <w:tc>
          <w:tcPr>
            <w:tcW w:w="2828" w:type="pct"/>
            <w:tcBorders>
              <w:top w:val="single" w:color="000000" w:sz="6"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第二选择</w:t>
            </w:r>
          </w:p>
        </w:tc>
        <w:tc>
          <w:tcPr>
            <w:tcW w:w="702" w:type="pct"/>
            <w:tcBorders>
              <w:top w:val="single" w:color="000000" w:sz="6" w:space="0"/>
              <w:left w:val="single" w:color="000000" w:sz="4" w:space="0"/>
              <w:bottom w:val="single" w:color="000000" w:sz="4" w:space="0"/>
              <w:right w:val="single" w:color="000000" w:sz="6"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禁用材质</w:t>
            </w:r>
          </w:p>
        </w:tc>
      </w:tr>
      <w:tr>
        <w:tblPrEx>
          <w:tblCellMar>
            <w:top w:w="0" w:type="dxa"/>
            <w:left w:w="0" w:type="dxa"/>
            <w:bottom w:w="0" w:type="dxa"/>
            <w:right w:w="0" w:type="dxa"/>
          </w:tblCellMar>
        </w:tblPrEx>
        <w:trPr>
          <w:trHeight w:val="706" w:hRule="atLeast"/>
          <w:jc w:val="center"/>
        </w:trPr>
        <w:tc>
          <w:tcPr>
            <w:tcW w:w="661" w:type="pct"/>
            <w:tcBorders>
              <w:top w:val="single" w:color="000000" w:sz="4" w:space="0"/>
              <w:left w:val="single" w:color="000000" w:sz="6"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金属</w:t>
            </w:r>
          </w:p>
        </w:tc>
        <w:tc>
          <w:tcPr>
            <w:tcW w:w="808" w:type="pc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聚四氟乙烯（PTFE）</w:t>
            </w:r>
          </w:p>
        </w:tc>
        <w:tc>
          <w:tcPr>
            <w:tcW w:w="2828" w:type="pc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优先序：丙烯腈-苯乙烯-丁二烯共聚物（ABS）＞硬聚氯乙稀（UPVC）＞PVC</w:t>
            </w:r>
          </w:p>
        </w:tc>
        <w:tc>
          <w:tcPr>
            <w:tcW w:w="702" w:type="pct"/>
            <w:tcBorders>
              <w:top w:val="single" w:color="000000" w:sz="4" w:space="0"/>
              <w:left w:val="single" w:color="000000" w:sz="4" w:space="0"/>
              <w:bottom w:val="single" w:color="000000" w:sz="4" w:space="0"/>
              <w:right w:val="single" w:color="000000" w:sz="6"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304和316不锈钢</w:t>
            </w:r>
          </w:p>
        </w:tc>
      </w:tr>
      <w:tr>
        <w:tblPrEx>
          <w:tblCellMar>
            <w:top w:w="0" w:type="dxa"/>
            <w:left w:w="0" w:type="dxa"/>
            <w:bottom w:w="0" w:type="dxa"/>
            <w:right w:w="0" w:type="dxa"/>
          </w:tblCellMar>
        </w:tblPrEx>
        <w:trPr>
          <w:trHeight w:val="446" w:hRule="atLeast"/>
          <w:jc w:val="center"/>
        </w:trPr>
        <w:tc>
          <w:tcPr>
            <w:tcW w:w="661" w:type="pct"/>
            <w:tcBorders>
              <w:top w:val="single" w:color="000000" w:sz="4" w:space="0"/>
              <w:left w:val="single" w:color="000000" w:sz="6"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有机物</w:t>
            </w:r>
          </w:p>
        </w:tc>
        <w:tc>
          <w:tcPr>
            <w:tcW w:w="808" w:type="pc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304和316不锈钢</w:t>
            </w:r>
          </w:p>
        </w:tc>
        <w:tc>
          <w:tcPr>
            <w:tcW w:w="2828" w:type="pc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优先序：PTFE＞ABS＞UPVC＞PVC</w:t>
            </w:r>
          </w:p>
        </w:tc>
        <w:tc>
          <w:tcPr>
            <w:tcW w:w="702" w:type="pct"/>
            <w:tcBorders>
              <w:top w:val="single" w:color="000000" w:sz="4" w:space="0"/>
              <w:left w:val="single" w:color="000000" w:sz="4" w:space="0"/>
              <w:bottom w:val="single" w:color="000000" w:sz="4" w:space="0"/>
              <w:right w:val="single" w:color="000000" w:sz="6"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无</w:t>
            </w:r>
          </w:p>
        </w:tc>
      </w:tr>
      <w:tr>
        <w:tblPrEx>
          <w:tblCellMar>
            <w:top w:w="0" w:type="dxa"/>
            <w:left w:w="0" w:type="dxa"/>
            <w:bottom w:w="0" w:type="dxa"/>
            <w:right w:w="0" w:type="dxa"/>
          </w:tblCellMar>
        </w:tblPrEx>
        <w:trPr>
          <w:trHeight w:val="725" w:hRule="atLeast"/>
          <w:jc w:val="center"/>
        </w:trPr>
        <w:tc>
          <w:tcPr>
            <w:tcW w:w="661" w:type="pct"/>
            <w:tcBorders>
              <w:top w:val="single" w:color="000000" w:sz="4" w:space="0"/>
              <w:left w:val="single" w:color="000000" w:sz="6" w:space="0"/>
              <w:bottom w:val="single" w:color="000000" w:sz="6"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金属和有机物</w:t>
            </w:r>
          </w:p>
        </w:tc>
        <w:tc>
          <w:tcPr>
            <w:tcW w:w="808" w:type="pct"/>
            <w:tcBorders>
              <w:top w:val="single" w:color="000000" w:sz="4" w:space="0"/>
              <w:left w:val="single" w:color="000000" w:sz="4" w:space="0"/>
              <w:bottom w:val="single" w:color="000000" w:sz="6"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无</w:t>
            </w:r>
          </w:p>
        </w:tc>
        <w:tc>
          <w:tcPr>
            <w:tcW w:w="2828" w:type="pct"/>
            <w:tcBorders>
              <w:top w:val="single" w:color="000000" w:sz="4" w:space="0"/>
              <w:left w:val="single" w:color="000000" w:sz="4" w:space="0"/>
              <w:bottom w:val="single" w:color="000000" w:sz="6"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优先序：PTFE＞ABS＞UPVC＞PVC</w:t>
            </w:r>
          </w:p>
        </w:tc>
        <w:tc>
          <w:tcPr>
            <w:tcW w:w="702" w:type="pct"/>
            <w:tcBorders>
              <w:top w:val="single" w:color="000000" w:sz="4" w:space="0"/>
              <w:left w:val="single" w:color="000000" w:sz="4" w:space="0"/>
              <w:bottom w:val="single" w:color="000000" w:sz="6" w:space="0"/>
              <w:right w:val="single" w:color="000000" w:sz="6" w:space="0"/>
            </w:tcBorders>
            <w:vAlign w:val="center"/>
          </w:tcPr>
          <w:p>
            <w:pPr>
              <w:pStyle w:val="68"/>
              <w:spacing w:line="460" w:lineRule="exact"/>
              <w:rPr>
                <w:rFonts w:asciiTheme="minorEastAsia" w:hAnsiTheme="minorEastAsia" w:eastAsiaTheme="minorEastAsia" w:cstheme="minorEastAsia"/>
                <w:sz w:val="21"/>
                <w:szCs w:val="21"/>
                <w:highlight w:val="none"/>
                <w:lang w:bidi="ar"/>
              </w:rPr>
            </w:pPr>
            <w:r>
              <w:rPr>
                <w:rFonts w:hint="eastAsia" w:asciiTheme="minorEastAsia" w:hAnsiTheme="minorEastAsia" w:eastAsiaTheme="minorEastAsia" w:cstheme="minorEastAsia"/>
                <w:sz w:val="21"/>
                <w:szCs w:val="21"/>
                <w:highlight w:val="none"/>
                <w:lang w:bidi="ar"/>
              </w:rPr>
              <w:t>304和316不锈钢</w:t>
            </w:r>
          </w:p>
        </w:tc>
      </w:tr>
    </w:tbl>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③井管连接可采用螺纹或卡扣进行连接，</w:t>
      </w:r>
      <w:r>
        <w:rPr>
          <w:rFonts w:hint="eastAsia" w:asciiTheme="minorEastAsia" w:hAnsiTheme="minorEastAsia" w:eastAsiaTheme="minorEastAsia" w:cstheme="minorEastAsia"/>
          <w:b/>
          <w:bCs/>
          <w:szCs w:val="21"/>
          <w:highlight w:val="none"/>
        </w:rPr>
        <w:t>应避免使用粘合剂</w:t>
      </w:r>
      <w:r>
        <w:rPr>
          <w:rFonts w:hint="eastAsia" w:asciiTheme="minorEastAsia" w:hAnsiTheme="minorEastAsia" w:eastAsiaTheme="minorEastAsia" w:cstheme="minorEastAsia"/>
          <w:szCs w:val="21"/>
          <w:highlight w:val="none"/>
        </w:rPr>
        <w:t>，并避免连接处发生渗漏。井管连接后，各井管轴心线应保持一致。</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（2）滤水管</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滤水管设计滤水管的型号、材质等应与井管匹配，具体设计要求如下：</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①为了避免钻穿含水层底板，地下水水位以下的滤水管长度不宜超过3m，并根据现场含水层分布和甲方的调查方案确定。地下水水位以上的滤水管长度根据地下水水位动态变化确定。</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②滤水管应置于拟取样含水层中以取得代表性水样。若地下水中可能或已经发现存在低密度非水相液体（LNAPL），滤水管位置应达到潜水面处；若地下水中可能或已经发现存在高密度非水相液体（DNAPL），滤水管应达到潜水层的底部，但应避免穿透隔水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③宜选用缝宽0.2mm~0.5mm的割缝筛管或孔隙能够阻挡90%的滤层材料的滤水管，割缝筛管具体选择依据见表2。滤水管钻孔直径不超过5mm，钻孔之间距离在10mm~20mm，滤水管外以细铁丝包裹和固定2~3层的40目钢丝网或尼龙网。</w:t>
      </w:r>
    </w:p>
    <w:p>
      <w:pPr>
        <w:pStyle w:val="67"/>
        <w:spacing w:line="460" w:lineRule="exac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 xml:space="preserve">表 </w:t>
      </w:r>
      <w:r>
        <w:rPr>
          <w:rFonts w:hint="eastAsia" w:asciiTheme="minorEastAsia" w:hAnsiTheme="minorEastAsia" w:eastAsiaTheme="minorEastAsia" w:cstheme="minorEastAsia"/>
          <w:szCs w:val="21"/>
          <w:highlight w:val="none"/>
        </w:rPr>
        <w:fldChar w:fldCharType="begin"/>
      </w:r>
      <w:r>
        <w:rPr>
          <w:rFonts w:hint="eastAsia" w:asciiTheme="minorEastAsia" w:hAnsiTheme="minorEastAsia" w:eastAsiaTheme="minorEastAsia" w:cstheme="minorEastAsia"/>
          <w:szCs w:val="21"/>
          <w:highlight w:val="none"/>
        </w:rPr>
        <w:instrText xml:space="preserve"> SEQ 表 \* ARABIC </w:instrText>
      </w:r>
      <w:r>
        <w:rPr>
          <w:rFonts w:hint="eastAsia" w:asciiTheme="minorEastAsia" w:hAnsiTheme="minorEastAsia" w:eastAsiaTheme="minorEastAsia" w:cstheme="minorEastAsia"/>
          <w:szCs w:val="21"/>
          <w:highlight w:val="none"/>
        </w:rPr>
        <w:fldChar w:fldCharType="separate"/>
      </w:r>
      <w:r>
        <w:rPr>
          <w:rFonts w:hint="eastAsia" w:asciiTheme="minorEastAsia" w:hAnsiTheme="minorEastAsia" w:eastAsiaTheme="minorEastAsia" w:cstheme="minorEastAsia"/>
          <w:szCs w:val="21"/>
          <w:highlight w:val="none"/>
        </w:rPr>
        <w:t>2</w:t>
      </w:r>
      <w:r>
        <w:rPr>
          <w:rFonts w:hint="eastAsia" w:asciiTheme="minorEastAsia" w:hAnsiTheme="minorEastAsia" w:eastAsiaTheme="minorEastAsia" w:cstheme="minorEastAsia"/>
          <w:szCs w:val="21"/>
          <w:highlight w:val="none"/>
        </w:rPr>
        <w:fldChar w:fldCharType="end"/>
      </w:r>
      <w:r>
        <w:rPr>
          <w:rFonts w:hint="eastAsia" w:asciiTheme="minorEastAsia" w:hAnsiTheme="minorEastAsia" w:eastAsiaTheme="minorEastAsia" w:cstheme="minorEastAsia"/>
          <w:szCs w:val="21"/>
          <w:highlight w:val="none"/>
        </w:rPr>
        <w:t xml:space="preserve"> 割缝筛管选择要求</w:t>
      </w:r>
    </w:p>
    <w:tbl>
      <w:tblPr>
        <w:tblStyle w:val="22"/>
        <w:tblW w:w="5000" w:type="pct"/>
        <w:jc w:val="center"/>
        <w:tblLayout w:type="fixed"/>
        <w:tblCellMar>
          <w:top w:w="0" w:type="dxa"/>
          <w:left w:w="0" w:type="dxa"/>
          <w:bottom w:w="0" w:type="dxa"/>
          <w:right w:w="0" w:type="dxa"/>
        </w:tblCellMar>
      </w:tblPr>
      <w:tblGrid>
        <w:gridCol w:w="3500"/>
        <w:gridCol w:w="2122"/>
        <w:gridCol w:w="1697"/>
        <w:gridCol w:w="1718"/>
      </w:tblGrid>
      <w:tr>
        <w:tblPrEx>
          <w:tblCellMar>
            <w:top w:w="0" w:type="dxa"/>
            <w:left w:w="0" w:type="dxa"/>
            <w:bottom w:w="0" w:type="dxa"/>
            <w:right w:w="0" w:type="dxa"/>
          </w:tblCellMar>
        </w:tblPrEx>
        <w:trPr>
          <w:trHeight w:val="340" w:hRule="atLeast"/>
          <w:jc w:val="center"/>
        </w:trPr>
        <w:tc>
          <w:tcPr>
            <w:tcW w:w="3213"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割缝筛管类型</w:t>
            </w:r>
          </w:p>
        </w:tc>
        <w:tc>
          <w:tcPr>
            <w:tcW w:w="5083" w:type="dxa"/>
            <w:gridSpan w:val="3"/>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含水层类型</w:t>
            </w:r>
          </w:p>
        </w:tc>
      </w:tr>
      <w:tr>
        <w:tblPrEx>
          <w:tblCellMar>
            <w:top w:w="0" w:type="dxa"/>
            <w:left w:w="0" w:type="dxa"/>
            <w:bottom w:w="0" w:type="dxa"/>
            <w:right w:w="0" w:type="dxa"/>
          </w:tblCellMar>
        </w:tblPrEx>
        <w:trPr>
          <w:trHeight w:val="340" w:hRule="atLeast"/>
          <w:jc w:val="center"/>
        </w:trPr>
        <w:tc>
          <w:tcPr>
            <w:tcW w:w="3213"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948"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均匀的中粗砂</w:t>
            </w:r>
          </w:p>
        </w:tc>
        <w:tc>
          <w:tcPr>
            <w:tcW w:w="3135" w:type="dxa"/>
            <w:gridSpan w:val="2"/>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非均匀的</w:t>
            </w:r>
          </w:p>
        </w:tc>
      </w:tr>
      <w:tr>
        <w:tblPrEx>
          <w:tblCellMar>
            <w:top w:w="0" w:type="dxa"/>
            <w:left w:w="0" w:type="dxa"/>
            <w:bottom w:w="0" w:type="dxa"/>
            <w:right w:w="0" w:type="dxa"/>
          </w:tblCellMar>
        </w:tblPrEx>
        <w:trPr>
          <w:trHeight w:val="340" w:hRule="atLeast"/>
          <w:jc w:val="center"/>
        </w:trPr>
        <w:tc>
          <w:tcPr>
            <w:tcW w:w="3213"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948"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中砂</w:t>
            </w:r>
          </w:p>
        </w:tc>
        <w:tc>
          <w:tcPr>
            <w:tcW w:w="157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粗砂</w:t>
            </w:r>
          </w:p>
        </w:tc>
      </w:tr>
      <w:tr>
        <w:tblPrEx>
          <w:tblCellMar>
            <w:top w:w="0" w:type="dxa"/>
            <w:left w:w="0" w:type="dxa"/>
            <w:bottom w:w="0" w:type="dxa"/>
            <w:right w:w="0" w:type="dxa"/>
          </w:tblCellMar>
        </w:tblPrEx>
        <w:trPr>
          <w:trHeight w:val="340" w:hRule="atLeast"/>
          <w:jc w:val="center"/>
        </w:trPr>
        <w:tc>
          <w:tcPr>
            <w:tcW w:w="3213"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包网割缝筛管</w:t>
            </w:r>
          </w:p>
        </w:tc>
        <w:tc>
          <w:tcPr>
            <w:tcW w:w="194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δ=(1.5~2)d50</w:t>
            </w:r>
          </w:p>
        </w:tc>
        <w:tc>
          <w:tcPr>
            <w:tcW w:w="1558"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δ=d40~d50</w:t>
            </w:r>
          </w:p>
        </w:tc>
        <w:tc>
          <w:tcPr>
            <w:tcW w:w="1577"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δ=d30~d40</w:t>
            </w:r>
          </w:p>
        </w:tc>
      </w:tr>
      <w:tr>
        <w:tblPrEx>
          <w:tblCellMar>
            <w:top w:w="0" w:type="dxa"/>
            <w:left w:w="0" w:type="dxa"/>
            <w:bottom w:w="0" w:type="dxa"/>
            <w:right w:w="0" w:type="dxa"/>
          </w:tblCellMar>
        </w:tblPrEx>
        <w:trPr>
          <w:trHeight w:val="340" w:hRule="atLeast"/>
          <w:jc w:val="center"/>
        </w:trPr>
        <w:tc>
          <w:tcPr>
            <w:tcW w:w="3213"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缠丝割缝筛管或其他割缝筛管</w:t>
            </w:r>
          </w:p>
        </w:tc>
        <w:tc>
          <w:tcPr>
            <w:tcW w:w="194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δ=(1~1.5)d50</w:t>
            </w:r>
          </w:p>
        </w:tc>
        <w:tc>
          <w:tcPr>
            <w:tcW w:w="1558"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577"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r>
      <w:tr>
        <w:tblPrEx>
          <w:tblCellMar>
            <w:top w:w="0" w:type="dxa"/>
            <w:left w:w="0" w:type="dxa"/>
            <w:bottom w:w="0" w:type="dxa"/>
            <w:right w:w="0" w:type="dxa"/>
          </w:tblCellMar>
        </w:tblPrEx>
        <w:trPr>
          <w:trHeight w:val="340" w:hRule="atLeast"/>
          <w:jc w:val="center"/>
        </w:trPr>
        <w:tc>
          <w:tcPr>
            <w:tcW w:w="8296" w:type="dxa"/>
            <w:gridSpan w:val="4"/>
            <w:tcBorders>
              <w:top w:val="single" w:color="000000" w:sz="4" w:space="0"/>
              <w:left w:val="single" w:color="000000" w:sz="4" w:space="0"/>
              <w:bottom w:val="single" w:color="000000" w:sz="4" w:space="0"/>
              <w:right w:val="single" w:color="000000" w:sz="4" w:space="0"/>
            </w:tcBorders>
            <w:vAlign w:val="center"/>
          </w:tcPr>
          <w:p>
            <w:pPr>
              <w:pStyle w:val="68"/>
              <w:spacing w:line="46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注：δ为滤缝宽度；d30、d40、d50分别为含水层试样在筛分时能通过筛眼的颗粒累计重量占试样全重分别为30%、40%、50%时的筛眼直径。</w:t>
            </w:r>
          </w:p>
        </w:tc>
      </w:tr>
    </w:tbl>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④沉淀管的长度一般为50cm。若含水层厚度超过3m，地下水采样井原则上可以不设沉淀管，但滤水管底部必须用管堵密封。</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（3）填料</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地下水采样井填料从下至上依次为滤料层、止水层、回填层，各层填料要求如下：</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①滤料层应从沉淀管（或管堵）底部一定距离到滤水管顶部以上50cm。滤料层超出部分可容许在成井、洗井的过程中有少量的细颗粒土壤进入滤料层。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②滤料层材料宜选择球度与圆度好、无污染的石英砂，使用前应经过筛选和清洗，避免影响地下水水质。滤料的粒径根据目标含水层土壤的粒度确定，一般以1mm~2mm粒径为宜，具体可参照表3。</w:t>
      </w:r>
    </w:p>
    <w:p>
      <w:pPr>
        <w:pStyle w:val="67"/>
        <w:spacing w:line="460" w:lineRule="exac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 xml:space="preserve">表 </w:t>
      </w:r>
      <w:r>
        <w:rPr>
          <w:rFonts w:hint="eastAsia" w:asciiTheme="minorEastAsia" w:hAnsiTheme="minorEastAsia" w:eastAsiaTheme="minorEastAsia" w:cstheme="minorEastAsia"/>
          <w:szCs w:val="21"/>
          <w:highlight w:val="none"/>
        </w:rPr>
        <w:fldChar w:fldCharType="begin"/>
      </w:r>
      <w:r>
        <w:rPr>
          <w:rFonts w:hint="eastAsia" w:asciiTheme="minorEastAsia" w:hAnsiTheme="minorEastAsia" w:eastAsiaTheme="minorEastAsia" w:cstheme="minorEastAsia"/>
          <w:szCs w:val="21"/>
          <w:highlight w:val="none"/>
        </w:rPr>
        <w:instrText xml:space="preserve"> SEQ 表 \* ARABIC </w:instrText>
      </w:r>
      <w:r>
        <w:rPr>
          <w:rFonts w:hint="eastAsia" w:asciiTheme="minorEastAsia" w:hAnsiTheme="minorEastAsia" w:eastAsiaTheme="minorEastAsia" w:cstheme="minorEastAsia"/>
          <w:szCs w:val="21"/>
          <w:highlight w:val="none"/>
        </w:rPr>
        <w:fldChar w:fldCharType="separate"/>
      </w:r>
      <w:r>
        <w:rPr>
          <w:rFonts w:hint="eastAsia" w:asciiTheme="minorEastAsia" w:hAnsiTheme="minorEastAsia" w:eastAsiaTheme="minorEastAsia" w:cstheme="minorEastAsia"/>
          <w:szCs w:val="21"/>
          <w:highlight w:val="none"/>
        </w:rPr>
        <w:t>3</w:t>
      </w:r>
      <w:r>
        <w:rPr>
          <w:rFonts w:hint="eastAsia" w:asciiTheme="minorEastAsia" w:hAnsiTheme="minorEastAsia" w:eastAsiaTheme="minorEastAsia" w:cstheme="minorEastAsia"/>
          <w:szCs w:val="21"/>
          <w:highlight w:val="none"/>
        </w:rPr>
        <w:fldChar w:fldCharType="end"/>
      </w:r>
      <w:r>
        <w:rPr>
          <w:rFonts w:hint="eastAsia" w:asciiTheme="minorEastAsia" w:hAnsiTheme="minorEastAsia" w:eastAsiaTheme="minorEastAsia" w:cstheme="minorEastAsia"/>
          <w:szCs w:val="21"/>
          <w:highlight w:val="none"/>
        </w:rPr>
        <w:t xml:space="preserve"> 滤料直径的选择</w:t>
      </w:r>
    </w:p>
    <w:tbl>
      <w:tblPr>
        <w:tblStyle w:val="22"/>
        <w:tblW w:w="5000" w:type="pct"/>
        <w:jc w:val="center"/>
        <w:tblLayout w:type="fixed"/>
        <w:tblCellMar>
          <w:top w:w="0" w:type="dxa"/>
          <w:left w:w="0" w:type="dxa"/>
          <w:bottom w:w="0" w:type="dxa"/>
          <w:right w:w="0" w:type="dxa"/>
        </w:tblCellMar>
      </w:tblPr>
      <w:tblGrid>
        <w:gridCol w:w="3217"/>
        <w:gridCol w:w="1979"/>
        <w:gridCol w:w="2132"/>
        <w:gridCol w:w="1708"/>
      </w:tblGrid>
      <w:tr>
        <w:tblPrEx>
          <w:tblCellMar>
            <w:top w:w="0" w:type="dxa"/>
            <w:left w:w="0" w:type="dxa"/>
            <w:bottom w:w="0" w:type="dxa"/>
            <w:right w:w="0" w:type="dxa"/>
          </w:tblCellMar>
        </w:tblPrEx>
        <w:trPr>
          <w:trHeight w:val="567" w:hRule="atLeast"/>
          <w:jc w:val="center"/>
        </w:trPr>
        <w:tc>
          <w:tcPr>
            <w:tcW w:w="2954" w:type="dxa"/>
            <w:vMerge w:val="restart"/>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含水层类型</w:t>
            </w:r>
          </w:p>
        </w:tc>
        <w:tc>
          <w:tcPr>
            <w:tcW w:w="181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砂土类含水层</w:t>
            </w:r>
          </w:p>
        </w:tc>
        <w:tc>
          <w:tcPr>
            <w:tcW w:w="3525" w:type="dxa"/>
            <w:gridSpan w:val="2"/>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碎石土类含水层</w:t>
            </w:r>
          </w:p>
        </w:tc>
      </w:tr>
      <w:tr>
        <w:tblPrEx>
          <w:tblCellMar>
            <w:top w:w="0" w:type="dxa"/>
            <w:left w:w="0" w:type="dxa"/>
            <w:bottom w:w="0" w:type="dxa"/>
            <w:right w:w="0" w:type="dxa"/>
          </w:tblCellMar>
        </w:tblPrEx>
        <w:trPr>
          <w:trHeight w:val="567" w:hRule="atLeast"/>
          <w:jc w:val="center"/>
        </w:trPr>
        <w:tc>
          <w:tcPr>
            <w:tcW w:w="2954" w:type="dxa"/>
            <w:vMerge w:val="continue"/>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p>
        </w:tc>
        <w:tc>
          <w:tcPr>
            <w:tcW w:w="181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η1&lt;10</w:t>
            </w:r>
          </w:p>
        </w:tc>
        <w:tc>
          <w:tcPr>
            <w:tcW w:w="195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d20&lt;2mm</w:t>
            </w:r>
          </w:p>
        </w:tc>
        <w:tc>
          <w:tcPr>
            <w:tcW w:w="156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d20≥2mm</w:t>
            </w:r>
          </w:p>
        </w:tc>
      </w:tr>
      <w:tr>
        <w:tblPrEx>
          <w:tblCellMar>
            <w:top w:w="0" w:type="dxa"/>
            <w:left w:w="0" w:type="dxa"/>
            <w:bottom w:w="0" w:type="dxa"/>
            <w:right w:w="0" w:type="dxa"/>
          </w:tblCellMar>
        </w:tblPrEx>
        <w:trPr>
          <w:trHeight w:val="511" w:hRule="atLeast"/>
          <w:jc w:val="center"/>
        </w:trPr>
        <w:tc>
          <w:tcPr>
            <w:tcW w:w="2954"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滤料的尺寸（D）</w:t>
            </w:r>
          </w:p>
        </w:tc>
        <w:tc>
          <w:tcPr>
            <w:tcW w:w="181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D50=（6~8）d50mm</w:t>
            </w:r>
          </w:p>
        </w:tc>
        <w:tc>
          <w:tcPr>
            <w:tcW w:w="1957"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D50=（6~8）d20mm</w:t>
            </w:r>
          </w:p>
        </w:tc>
        <w:tc>
          <w:tcPr>
            <w:tcW w:w="1568"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D=10~20mm</w:t>
            </w:r>
          </w:p>
        </w:tc>
      </w:tr>
      <w:tr>
        <w:tblPrEx>
          <w:tblCellMar>
            <w:top w:w="0" w:type="dxa"/>
            <w:left w:w="0" w:type="dxa"/>
            <w:bottom w:w="0" w:type="dxa"/>
            <w:right w:w="0" w:type="dxa"/>
          </w:tblCellMar>
        </w:tblPrEx>
        <w:trPr>
          <w:trHeight w:val="567" w:hRule="atLeast"/>
          <w:jc w:val="center"/>
        </w:trPr>
        <w:tc>
          <w:tcPr>
            <w:tcW w:w="2954" w:type="dxa"/>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滤料的η2要求</w:t>
            </w:r>
          </w:p>
        </w:tc>
        <w:tc>
          <w:tcPr>
            <w:tcW w:w="5342" w:type="dxa"/>
            <w:gridSpan w:val="3"/>
            <w:tcBorders>
              <w:top w:val="single" w:color="000000" w:sz="4" w:space="0"/>
              <w:left w:val="single" w:color="000000" w:sz="4" w:space="0"/>
              <w:bottom w:val="single" w:color="000000" w:sz="4" w:space="0"/>
              <w:right w:val="single" w:color="000000" w:sz="4" w:space="0"/>
            </w:tcBorders>
            <w:vAlign w:val="center"/>
          </w:tcPr>
          <w:p>
            <w:pPr>
              <w:pStyle w:val="68"/>
              <w:spacing w:line="46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η2&lt;10</w:t>
            </w:r>
          </w:p>
        </w:tc>
      </w:tr>
      <w:tr>
        <w:tblPrEx>
          <w:tblCellMar>
            <w:top w:w="0" w:type="dxa"/>
            <w:left w:w="0" w:type="dxa"/>
            <w:bottom w:w="0" w:type="dxa"/>
            <w:right w:w="0" w:type="dxa"/>
          </w:tblCellMar>
        </w:tblPrEx>
        <w:trPr>
          <w:trHeight w:val="567" w:hRule="atLeast"/>
          <w:jc w:val="center"/>
        </w:trPr>
        <w:tc>
          <w:tcPr>
            <w:tcW w:w="8296" w:type="dxa"/>
            <w:gridSpan w:val="4"/>
            <w:tcBorders>
              <w:top w:val="single" w:color="000000" w:sz="4" w:space="0"/>
              <w:left w:val="single" w:color="000000" w:sz="4" w:space="0"/>
              <w:bottom w:val="single" w:color="000000" w:sz="4" w:space="0"/>
              <w:right w:val="single" w:color="000000" w:sz="4" w:space="0"/>
            </w:tcBorders>
            <w:vAlign w:val="center"/>
          </w:tcPr>
          <w:p>
            <w:pPr>
              <w:pStyle w:val="68"/>
              <w:spacing w:line="46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注：①表中η1和η2分别为含水层和滤料的不均匀系数。即η1=d60/d10；η2=D60/D10。</w:t>
            </w:r>
          </w:p>
          <w:p>
            <w:pPr>
              <w:pStyle w:val="68"/>
              <w:spacing w:line="460" w:lineRule="exact"/>
              <w:ind w:firstLine="420" w:firstLineChars="20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②d10，d20，d50，d60和D10，D50，D60分别为含水层试样和滤料试样在筛分时能通过筛眼的颗粒累。</w:t>
            </w:r>
          </w:p>
          <w:p>
            <w:pPr>
              <w:pStyle w:val="68"/>
              <w:spacing w:line="46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计重量占筛样全重依次为10%，20%，50%，60%时的筛眼直径。</w:t>
            </w:r>
          </w:p>
        </w:tc>
      </w:tr>
    </w:tbl>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③止水层主要用于防止滤料层以上的外来水通过滤料层进入井内。止水部位应根据钻孔含水层的分布情况确定，一般选择在隔水层或弱透水层处。</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止水层的填充高度应达到滤料层以上50cm。为了保证止水效果，建议选用直径20mm~40mm球状膨润土分两段进行填充，第一段从滤料层往上填充不小于30cm的干膨润土，然后采用加水膨润土或膨润土浆继续填充至距离地面50cm处。</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④回填层位于止水层之上至采样井顶部，宜根据场地条件选择合适的回填材料。优先选用膨润土作为回填材料，当地下水含有可能导致膨润土水化不良的成分时，宜选择混凝土浆作为回填材料。使用混凝土浆作为回填材料时，为延缓固化时间，可在混凝土浆中添加5%~10%的膨润土。</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（4）井口保护装置要求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为保护监测井，应建设监测井井口保护装置，包括井口保护筒、井台或井盖等部分。监测井保护装置应坚固耐用、不易被破坏。</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井台采用C20商品砼，尺寸为100cm*100cm*50cm，含模板（警示牌）及四周护栏，水泥平台四角须磨圆。</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②井口保护筒宜使用不锈钢材质，井盖中心部分应采用高密度树脂材料，避免数据无线传输信号被屏蔽，井盖需加异型安全锁，依据井管直径，保护筒内径为16cm，高为50cm，厚为2mm，保护筒下部应埋入水泥平台中10cm固定。</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（二）地下水采样井建设要求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采样井建设过程包括钻孔、下管、填充滤料、密封止水、井台构筑（长期监测井需要）、成井洗井、封井等步骤，具体要求如下：</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（1）钻孔直径应至少大于井管直径63mm。钻孔达到设定深度后进行钻孔掏洗，以清除钻孔中的泥浆和钻屑，然后静置2h~3h并记录静止水位。</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下管前应校正孔深，按先后次序将井管逐根丈量、排列、编号、试扣，确保下管深度和滤水管安装位置准确无误。井管下放速度不宜太快，中途遇阻时可适当上下提动和转动井管，必要时应将井管提出，清除孔内障碍后再下管。下管完成后，将其扶正、固定，井管应与钻孔轴心重合。</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使用导砂管将滤料缓慢填充至管壁与孔壁中的环形空隙内，应沿着井管四周均匀填充，避免从单一方位填入，一边填充一边晃动井管，防止滤料填充时形成架桥或卡锁现象。滤料填充过程应进行测量，确保滤料填充至设计高度。</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密封止水应从滤料层往上填充，直至距离地面50cm。若采用膨润土球作为止水材料，每填充10cm需向钻孔中均匀注入少量的清洁水，填充过程中应进行测量，确保止水材料填充至设计高度，静置待膨润土充分膨胀、水化和凝结（具体根据膨润土供应厂商建议时间调整）,然后回填混凝土浆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（5）地下水采样井建成至少24h后（待井内的填料得到充分养护、稳定后）才能进行洗井。</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洗井时一般控制流速不超过3.8L/min，成井洗井达标直观判断水质基本上达到水清砂净（即基本透明无色、无沉砂），洗井抽出水量不小于井内水体积的3倍。同时监测pH值、电导率、浊度、水温等参数值达到稳定（连续三次监测数值浮动在±10%以内），或浊度小于50NTU，。避免使用大流量抽水或高气压气提的洗井设备,以免损坏滤水管和滤料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（6）洗井过程要防止交叉污染，贝勒管洗井时应一井一管，气囊泵、潜水泵在洗井前要清洗泵体和管线，清洗废水要收集处置。</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7）成井后测量记录点位坐标及管口高程，填写成井记录单、地下水采样井洗井记录单；成井过程中对井管处理（滤水管钻孔或割缝、包网处理、井管连接等））、滤料填充和止水材料、洗井作业和洗井合格出水、井台构筑（含井牌）等关键环节或信息应拍照记录，每个环节不少于1张照片，以备质量控制。</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（8）封井</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采样完成后，非长期监测的采样井应进行封井。封井应从井底至地面下50cm全部用直径为20mm~40mm的优质无污染的膨润土球封堵。</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膨润土球一般采用提拉式填充，将直径小于井内径的硬质细管提前下入井中（根据现场情况尽量选择小直径细管），向细管与井壁的环形空间填充一定量的膨润土球，然后缓慢向上提管，反复抽提防止井下搭桥，确保膨润土球全部落入井中，再进行下一批次膨润土球的填充。</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全部膨润土球填充完成后应静置24h，测量膨润土填充高度，判断是否达到预定封井高度，并于7天后再次检查封井情况，如发现塌陷应立即补填，直至符合规定要求。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将井管高于地面部分进行切割，按照膨润土球填充的操作规程，从膨润土封层向上至地面注入混凝土浆进行封固。</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（三）二次污染防治要求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钻探及建井产生的废土、泥浆和洗井废水应统一收集并合法合规处理，不得随意丢弃；对废弃的一次性手套、口罩等个人防护用品应按照一般固体废物处置要求进行收集处置。采样过程中产生的类似措施费均由钻探单位自行承担。</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（2）产生泥浆的点位，需铺设防雨布等防护材料，禁止泥浆随意流淌，禁止污染草地和路面；</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（3）施工单位负责施工现场清洁工作，建设的每口井周边铺设彩条布，收集废土。泥土等严禁携带到路面，建井单位负责清扫处置，并提供相关的台账记录和图/视频证明。</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（四）其他技术要求</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中标人现场需安排1名专门项目经理，负责与我单位现场负责人员对接，由项目经理每日上报当天建井工作量；现场钻探过程中有出现点位编号位置更改等情况，修改内容当日形成书面内容上报，并统一整理成专项记录以备查。</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（2）现场工作必须按照本合同制定的</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（三）技术要求开展。</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（3）甲方协助乙方对接确认建井点位地下管线情况，但不最终确认，若施工过程造成管线破损，造成的损失由乙方负责。</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（4）现场施工造成的一切损失，均由乙方负责承担。</w:t>
      </w:r>
    </w:p>
    <w:p>
      <w:pPr>
        <w:spacing w:line="460" w:lineRule="exact"/>
        <w:ind w:firstLine="560"/>
        <w:rPr>
          <w:rFonts w:ascii="宋体" w:hAnsi="宋体" w:cs="宋体"/>
          <w:b/>
          <w:bCs/>
          <w:szCs w:val="21"/>
          <w:highlight w:val="none"/>
        </w:rPr>
      </w:pPr>
      <w:r>
        <w:rPr>
          <w:rFonts w:hint="eastAsia" w:asciiTheme="minorEastAsia" w:hAnsiTheme="minorEastAsia" w:eastAsiaTheme="minorEastAsia" w:cstheme="minorEastAsia"/>
          <w:szCs w:val="21"/>
          <w:highlight w:val="none"/>
        </w:rPr>
        <w:t>（5）长期监测井需做好定期维护，包含井台维修，保护筒、安全锁和警示牌更换，满足5年长期监测的采样要求。</w:t>
      </w:r>
    </w:p>
    <w:p>
      <w:pPr>
        <w:pStyle w:val="10"/>
        <w:spacing w:line="440" w:lineRule="exact"/>
        <w:ind w:firstLine="420" w:firstLineChars="200"/>
        <w:rPr>
          <w:rFonts w:hAnsi="宋体" w:cs="宋体"/>
          <w:highlight w:val="none"/>
        </w:rPr>
      </w:pPr>
      <w:r>
        <w:rPr>
          <w:rFonts w:hint="eastAsia" w:hAnsi="宋体" w:cs="宋体"/>
          <w:highlight w:val="none"/>
        </w:rPr>
        <w:t>（四）服务期限：</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（1）服务期限为项目合同签订之日起至项目全部完成。</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（2）中标人应在接到采购方通知后2日内响应进场，钻探过程中中标人须无条件服从我方时间进度安排。</w:t>
      </w:r>
    </w:p>
    <w:p>
      <w:pPr>
        <w:spacing w:line="460" w:lineRule="exact"/>
        <w:ind w:firstLine="56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（3）正式开工后，需配备至少2台钻机设备及班组同时进场作业，每个班组不少于4人，每批次现场工作结束后5日内提交所有材料电子稿和纸质稿。</w:t>
      </w:r>
    </w:p>
    <w:p>
      <w:pPr>
        <w:pStyle w:val="5"/>
        <w:numPr>
          <w:ilvl w:val="0"/>
          <w:numId w:val="3"/>
        </w:numPr>
        <w:spacing w:line="440" w:lineRule="exact"/>
        <w:ind w:firstLineChars="200"/>
        <w:rPr>
          <w:rFonts w:hAnsi="宋体" w:cs="宋体"/>
          <w:sz w:val="21"/>
          <w:szCs w:val="21"/>
          <w:highlight w:val="none"/>
        </w:rPr>
      </w:pPr>
      <w:r>
        <w:rPr>
          <w:rFonts w:hint="eastAsia" w:hAnsi="宋体" w:cs="宋体"/>
          <w:sz w:val="21"/>
          <w:szCs w:val="21"/>
          <w:highlight w:val="none"/>
        </w:rPr>
        <w:t>双方职责</w:t>
      </w:r>
    </w:p>
    <w:p>
      <w:pPr>
        <w:pStyle w:val="10"/>
        <w:spacing w:line="440" w:lineRule="exact"/>
        <w:ind w:firstLine="420" w:firstLineChars="200"/>
        <w:rPr>
          <w:rFonts w:hAnsi="宋体" w:cs="宋体"/>
          <w:highlight w:val="none"/>
        </w:rPr>
      </w:pPr>
      <w:r>
        <w:rPr>
          <w:rFonts w:hint="eastAsia" w:hAnsi="宋体" w:cs="宋体"/>
          <w:highlight w:val="none"/>
        </w:rPr>
        <w:t>甲方：</w:t>
      </w:r>
    </w:p>
    <w:p>
      <w:pPr>
        <w:pStyle w:val="10"/>
        <w:spacing w:line="440" w:lineRule="exact"/>
        <w:ind w:firstLine="420" w:firstLineChars="200"/>
        <w:rPr>
          <w:rFonts w:hAnsi="宋体" w:cs="宋体"/>
          <w:highlight w:val="none"/>
        </w:rPr>
      </w:pPr>
      <w:r>
        <w:rPr>
          <w:rFonts w:hint="eastAsia" w:hAnsi="宋体" w:cs="宋体"/>
          <w:highlight w:val="none"/>
        </w:rPr>
        <w:t>1、甲方负责在中标通知书发出之日起向乙方提供此次调查的方案和技术要求，包括钻探点位、建井深度和参数，并通知乙方进场。</w:t>
      </w:r>
    </w:p>
    <w:p>
      <w:pPr>
        <w:pStyle w:val="10"/>
        <w:spacing w:line="440" w:lineRule="exact"/>
        <w:ind w:firstLine="420" w:firstLineChars="200"/>
        <w:rPr>
          <w:rFonts w:hAnsi="宋体" w:cs="宋体"/>
          <w:highlight w:val="none"/>
        </w:rPr>
      </w:pPr>
      <w:r>
        <w:rPr>
          <w:rFonts w:hint="eastAsia" w:hAnsi="宋体" w:cs="宋体"/>
          <w:highlight w:val="none"/>
        </w:rPr>
        <w:t>2、派人配合做好有关协调事宜，确保现场采样顺利进行。</w:t>
      </w:r>
    </w:p>
    <w:p>
      <w:pPr>
        <w:pStyle w:val="10"/>
        <w:spacing w:line="440" w:lineRule="exact"/>
        <w:ind w:firstLine="420" w:firstLineChars="200"/>
        <w:rPr>
          <w:rFonts w:hAnsi="宋体" w:cs="宋体"/>
          <w:highlight w:val="none"/>
        </w:rPr>
      </w:pPr>
      <w:r>
        <w:rPr>
          <w:rFonts w:hint="eastAsia" w:hAnsi="宋体" w:cs="宋体"/>
          <w:highlight w:val="none"/>
        </w:rPr>
        <w:t>乙方：</w:t>
      </w:r>
    </w:p>
    <w:p>
      <w:pPr>
        <w:widowControl/>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１、乙方需做好接到甲方进场通知后次日进场的工作条件，负责现场管理及现场作业人员的相关安全教育。应按国家相关安全操作规定进行作业，乙方在现场作业施工过程中由于乙方的过错或责任造成对甲方、第三方或者自身损害的，产生的相应责任与后果均由乙方负责。</w:t>
      </w:r>
    </w:p>
    <w:p>
      <w:pPr>
        <w:widowControl/>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２、若由于乙方工作原因导致现场采样及检测质量等不满足工作要求（包括但不限于现场建井不满足技术要求，建井记录单记录不规范、现场照片拍摄不规范等），甲方有权对不符合要求的委托事项不再支付费用，同时由乙方免费重新开展相应委托内容。</w:t>
      </w:r>
    </w:p>
    <w:p>
      <w:pPr>
        <w:widowControl/>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３、若由于乙方工作质量问题导致甲方产生损失，包括但不限于钻探费、人员费、车辆费及误工费等，全部由乙方承担，且甲方不支付任何检测费。</w:t>
      </w:r>
    </w:p>
    <w:p>
      <w:pPr>
        <w:widowControl/>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４、乙方结算时需按甲方要求提供结算资料，乙方未提供结算资料或未按要求提供结算资料的，甲方不予结算，造成甲方损失的还需由乙方承担。</w:t>
      </w:r>
    </w:p>
    <w:p>
      <w:pPr>
        <w:widowControl/>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５、项目施工产生的二次污染均需妥善处置，安全及二次污染防治措施费均由乙方自行承担。</w:t>
      </w:r>
    </w:p>
    <w:p>
      <w:pPr>
        <w:widowControl/>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６、实施过程中发生无法预计的问题，由双方协商解决。</w:t>
      </w:r>
    </w:p>
    <w:p>
      <w:pPr>
        <w:widowControl/>
        <w:spacing w:line="440" w:lineRule="exact"/>
        <w:ind w:firstLine="420" w:firstLineChars="200"/>
        <w:rPr>
          <w:rFonts w:ascii="宋体" w:hAnsi="宋体" w:cs="宋体"/>
          <w:spacing w:val="2"/>
          <w:kern w:val="0"/>
          <w:szCs w:val="21"/>
          <w:highlight w:val="none"/>
        </w:rPr>
      </w:pPr>
      <w:r>
        <w:rPr>
          <w:rFonts w:hint="eastAsia" w:ascii="宋体" w:hAnsi="宋体" w:cs="宋体"/>
          <w:szCs w:val="21"/>
          <w:highlight w:val="none"/>
        </w:rPr>
        <w:t>三、费用组成及支付方式：</w:t>
      </w:r>
    </w:p>
    <w:p>
      <w:pPr>
        <w:pStyle w:val="10"/>
        <w:spacing w:line="440" w:lineRule="exact"/>
        <w:ind w:firstLine="420" w:firstLineChars="200"/>
        <w:rPr>
          <w:rFonts w:hAnsi="宋体" w:cs="宋体"/>
          <w:highlight w:val="none"/>
        </w:rPr>
      </w:pPr>
      <w:r>
        <w:rPr>
          <w:rFonts w:hint="eastAsia" w:asciiTheme="minorEastAsia" w:hAnsiTheme="minorEastAsia" w:eastAsiaTheme="minorEastAsia" w:cstheme="minorEastAsia"/>
          <w:highlight w:val="none"/>
        </w:rPr>
        <w:t>本项目投标报价为</w:t>
      </w:r>
      <w:r>
        <w:rPr>
          <w:rFonts w:hint="eastAsia" w:asciiTheme="minorEastAsia" w:hAnsiTheme="minorEastAsia" w:eastAsiaTheme="minorEastAsia" w:cstheme="minorEastAsia"/>
          <w:b/>
          <w:bCs/>
          <w:highlight w:val="none"/>
        </w:rPr>
        <w:t>固定单价</w:t>
      </w:r>
      <w:r>
        <w:rPr>
          <w:rFonts w:hint="eastAsia" w:asciiTheme="minorEastAsia" w:hAnsiTheme="minorEastAsia" w:eastAsiaTheme="minorEastAsia" w:cstheme="minorEastAsia"/>
          <w:highlight w:val="none"/>
        </w:rPr>
        <w:t>，结算依据报价清单中各子项内容、钻井数量和钻探深度按实结算，投标总价应包括招标文件所确定的招标范围相应服务的提供、人员（包括工资和补贴）、办公场所</w:t>
      </w:r>
      <w:r>
        <w:rPr>
          <w:rFonts w:hint="eastAsia" w:hAnsi="宋体" w:cs="宋体"/>
          <w:highlight w:val="none"/>
        </w:rPr>
        <w:t>及设施、保险、劳保、管理、各种税费、利润、税金、政策性文件规定及合同包含的所有风险、责任等各项应有费用，以及为完成该项服务项目所涉及到的一切相关费用（含所有资料获取费用），招标人不再支付其他任何费用。</w:t>
      </w:r>
    </w:p>
    <w:p>
      <w:pPr>
        <w:pStyle w:val="10"/>
        <w:spacing w:line="440" w:lineRule="exact"/>
        <w:ind w:firstLine="420" w:firstLineChars="200"/>
        <w:rPr>
          <w:rFonts w:hAnsi="宋体" w:cs="宋体"/>
          <w:highlight w:val="none"/>
        </w:rPr>
      </w:pPr>
      <w:r>
        <w:rPr>
          <w:rFonts w:hint="eastAsia" w:hAnsi="宋体" w:cs="宋体"/>
          <w:highlight w:val="none"/>
        </w:rPr>
        <w:t>中标人完成现场全部工作，提供全部技术资料（盖章件），甲方确认乙方结算申请且具备结算条件后，甲方支付乙方实际结算价的50%；剩余50%款项在项目取得评审意见后6个月内支付。每次甲方支付前，乙方需开具正式发票。</w:t>
      </w:r>
    </w:p>
    <w:p>
      <w:pPr>
        <w:pStyle w:val="10"/>
        <w:spacing w:line="440" w:lineRule="exact"/>
        <w:ind w:firstLine="420" w:firstLineChars="200"/>
        <w:rPr>
          <w:rFonts w:hAnsi="宋体" w:cs="宋体"/>
          <w:highlight w:val="none"/>
        </w:rPr>
      </w:pPr>
      <w:r>
        <w:rPr>
          <w:rFonts w:hint="eastAsia" w:hAnsi="宋体" w:cs="宋体"/>
          <w:highlight w:val="none"/>
        </w:rPr>
        <w:t>四、下列文件应视为构成并作为阅读和理解本协议的组成部分，即：</w:t>
      </w:r>
    </w:p>
    <w:p>
      <w:pPr>
        <w:pStyle w:val="10"/>
        <w:spacing w:line="440" w:lineRule="exact"/>
        <w:ind w:firstLine="420" w:firstLineChars="200"/>
        <w:rPr>
          <w:rFonts w:hAnsi="宋体" w:cs="宋体"/>
          <w:highlight w:val="none"/>
        </w:rPr>
      </w:pPr>
      <w:r>
        <w:rPr>
          <w:rFonts w:hint="eastAsia" w:hAnsi="宋体" w:cs="宋体"/>
          <w:highlight w:val="none"/>
        </w:rPr>
        <w:t>1、本协议书；</w:t>
      </w:r>
    </w:p>
    <w:p>
      <w:pPr>
        <w:pStyle w:val="10"/>
        <w:spacing w:line="440" w:lineRule="exact"/>
        <w:ind w:firstLine="420" w:firstLineChars="200"/>
        <w:rPr>
          <w:rFonts w:hAnsi="宋体" w:cs="宋体"/>
          <w:highlight w:val="none"/>
        </w:rPr>
      </w:pPr>
      <w:r>
        <w:rPr>
          <w:rFonts w:hint="eastAsia" w:hAnsi="宋体" w:cs="宋体"/>
          <w:highlight w:val="none"/>
        </w:rPr>
        <w:t>2、采购文件；</w:t>
      </w:r>
    </w:p>
    <w:p>
      <w:pPr>
        <w:pStyle w:val="10"/>
        <w:spacing w:line="440" w:lineRule="exact"/>
        <w:ind w:firstLine="420" w:firstLineChars="200"/>
        <w:rPr>
          <w:rFonts w:hAnsi="宋体" w:cs="宋体"/>
          <w:highlight w:val="none"/>
        </w:rPr>
      </w:pPr>
      <w:r>
        <w:rPr>
          <w:rFonts w:hint="eastAsia" w:hAnsi="宋体" w:cs="宋体"/>
          <w:highlight w:val="none"/>
        </w:rPr>
        <w:t>3、投标文件及其附件（含投标人在评标期间递交和确认并经招标人同意的对有关问题的补充资料和澄清文件等）；</w:t>
      </w:r>
    </w:p>
    <w:p>
      <w:pPr>
        <w:pStyle w:val="10"/>
        <w:spacing w:line="440" w:lineRule="exact"/>
        <w:ind w:firstLine="420" w:firstLineChars="200"/>
        <w:rPr>
          <w:rFonts w:hAnsi="宋体" w:cs="宋体"/>
          <w:highlight w:val="none"/>
        </w:rPr>
      </w:pPr>
      <w:r>
        <w:rPr>
          <w:rFonts w:hint="eastAsia" w:hAnsi="宋体" w:cs="宋体"/>
          <w:highlight w:val="none"/>
        </w:rPr>
        <w:t>4、中标通知书。</w:t>
      </w:r>
    </w:p>
    <w:p>
      <w:pPr>
        <w:pStyle w:val="10"/>
        <w:spacing w:line="440" w:lineRule="exact"/>
        <w:ind w:firstLine="420" w:firstLineChars="200"/>
        <w:rPr>
          <w:rFonts w:hAnsi="宋体" w:cs="宋体"/>
          <w:highlight w:val="none"/>
        </w:rPr>
      </w:pPr>
      <w:r>
        <w:rPr>
          <w:rFonts w:hint="eastAsia" w:hAnsi="宋体" w:cs="宋体"/>
          <w:highlight w:val="none"/>
        </w:rPr>
        <w:t>五、违约责任</w:t>
      </w:r>
    </w:p>
    <w:p>
      <w:pPr>
        <w:pStyle w:val="10"/>
        <w:spacing w:line="440" w:lineRule="exact"/>
        <w:ind w:firstLine="420" w:firstLineChars="200"/>
        <w:rPr>
          <w:rFonts w:hAnsi="宋体" w:cs="宋体"/>
          <w:highlight w:val="none"/>
        </w:rPr>
      </w:pPr>
      <w:r>
        <w:rPr>
          <w:rFonts w:hint="eastAsia" w:hAnsi="宋体" w:cs="宋体"/>
          <w:highlight w:val="none"/>
        </w:rPr>
        <w:t>１、甲方负责在中标通知书发出之日起向乙方提供此次调查的方案和技术要求，并通知乙方进场，乙方需做好次日进场的工作条件。</w:t>
      </w:r>
    </w:p>
    <w:p>
      <w:pPr>
        <w:pStyle w:val="10"/>
        <w:spacing w:line="440" w:lineRule="exact"/>
        <w:ind w:firstLine="420" w:firstLineChars="200"/>
        <w:rPr>
          <w:rFonts w:hAnsi="宋体" w:cs="宋体"/>
          <w:highlight w:val="none"/>
        </w:rPr>
      </w:pPr>
      <w:r>
        <w:rPr>
          <w:rFonts w:hint="eastAsia" w:hAnsi="宋体" w:cs="宋体"/>
          <w:highlight w:val="none"/>
        </w:rPr>
        <w:t>2、乙方应在合同签订前向甲方支付合同价10%的履约保证金，如在规定时间内不能及时缴纳履约保证金或保函，乙方仍应按照招标文件要求在规定时间内完成相应技术服务工作，且在履约保证金缴纳之前甲方有权不开展项目结算工作，履约保证金退返乙方时间根据缴纳滞后周期相应顺延。</w:t>
      </w:r>
    </w:p>
    <w:p>
      <w:pPr>
        <w:pStyle w:val="10"/>
        <w:spacing w:line="440" w:lineRule="exact"/>
        <w:ind w:firstLine="420" w:firstLineChars="200"/>
        <w:rPr>
          <w:rFonts w:hAnsi="宋体" w:cs="宋体"/>
          <w:highlight w:val="none"/>
        </w:rPr>
      </w:pPr>
      <w:r>
        <w:rPr>
          <w:rFonts w:hint="eastAsia" w:hAnsi="宋体" w:cs="宋体"/>
          <w:highlight w:val="none"/>
        </w:rPr>
        <w:t>3、乙方不能按时进场工作，每逾期1天，乙方向甲方偿付合同总额5‰的违约金；乙方逾期完成超过10天（含10天），甲方有权解除合同，乙方交纳的全部履约保证金不予退还，同时有权要求乙方按照合同总价10%的标准支付违约金，解除合同的通知自发出之日生效。</w:t>
      </w:r>
    </w:p>
    <w:p>
      <w:pPr>
        <w:pStyle w:val="10"/>
        <w:spacing w:line="440" w:lineRule="exact"/>
        <w:ind w:firstLine="420" w:firstLineChars="200"/>
        <w:rPr>
          <w:rFonts w:hAnsi="宋体" w:cs="宋体"/>
          <w:highlight w:val="none"/>
        </w:rPr>
      </w:pPr>
    </w:p>
    <w:p>
      <w:pPr>
        <w:pStyle w:val="10"/>
        <w:spacing w:line="440" w:lineRule="exact"/>
        <w:ind w:firstLine="420" w:firstLineChars="200"/>
        <w:rPr>
          <w:rFonts w:hAnsi="宋体" w:cs="宋体"/>
          <w:highlight w:val="none"/>
        </w:rPr>
      </w:pPr>
      <w:r>
        <w:rPr>
          <w:rFonts w:hint="eastAsia" w:hAnsi="宋体" w:cs="宋体"/>
          <w:highlight w:val="none"/>
        </w:rPr>
        <w:t>4、乙方未按本合同的规定和“服务承诺”提供伴随服务/售后服务的，甲方有权提前解除本合同，同时乙方应按合同总价款的10 %向甲方承担违约责任。</w:t>
      </w:r>
    </w:p>
    <w:p>
      <w:pPr>
        <w:pStyle w:val="10"/>
        <w:spacing w:line="440" w:lineRule="exact"/>
        <w:ind w:firstLine="420" w:firstLineChars="200"/>
        <w:rPr>
          <w:rFonts w:hAnsi="宋体" w:cs="宋体"/>
          <w:highlight w:val="none"/>
        </w:rPr>
      </w:pPr>
      <w:r>
        <w:rPr>
          <w:rFonts w:hint="eastAsia" w:hAnsi="宋体" w:cs="宋体"/>
          <w:highlight w:val="none"/>
        </w:rPr>
        <w:t>5、乙方在承担上述一项或多项违约责任后，仍应继续履行合同规定的义务（甲方解除合同的除外）。甲方未能及时追究乙方的任何一项违约责任并不表明甲方放弃追究乙方该项或其他违约责任。</w:t>
      </w:r>
    </w:p>
    <w:p>
      <w:pPr>
        <w:pStyle w:val="10"/>
        <w:spacing w:line="440" w:lineRule="exact"/>
        <w:ind w:firstLine="420" w:firstLineChars="200"/>
        <w:rPr>
          <w:rFonts w:hAnsi="宋体" w:cs="宋体"/>
          <w:highlight w:val="none"/>
        </w:rPr>
      </w:pPr>
      <w:r>
        <w:rPr>
          <w:rFonts w:hint="eastAsia" w:hAnsi="宋体" w:cs="宋体"/>
          <w:highlight w:val="none"/>
        </w:rPr>
        <w:t>6、乙方属虚假承诺，或经权威部门监测提供的服务（技术成果）不能满足甲方要求，或是由于乙方的过错造成合同无法继续履行的，除乙方已交履约保证金不予退还外，还应向甲方支付不少于合同总价30%违约金，若该违约金不足以弥补甲方损失，则应当赔偿甲方所有损失。</w:t>
      </w:r>
    </w:p>
    <w:p>
      <w:pPr>
        <w:pStyle w:val="10"/>
        <w:spacing w:line="440" w:lineRule="exact"/>
        <w:ind w:firstLine="420" w:firstLineChars="200"/>
        <w:rPr>
          <w:rFonts w:hAnsi="宋体" w:cs="宋体"/>
        </w:rPr>
      </w:pPr>
      <w:r>
        <w:rPr>
          <w:rFonts w:hint="eastAsia" w:hAnsi="宋体" w:cs="宋体"/>
          <w:highlight w:val="none"/>
        </w:rPr>
        <w:t>7、在合同履行</w:t>
      </w:r>
      <w:r>
        <w:rPr>
          <w:rFonts w:hint="eastAsia" w:hAnsi="宋体" w:cs="宋体"/>
        </w:rPr>
        <w:t>过程中，甲方、乙方应注意保密。在该项目工程中取得的有关信息、资料，乙方人员未经甲方同意，不得向不参与该项目工程的任何第三方透露及泄漏。</w:t>
      </w:r>
    </w:p>
    <w:p>
      <w:pPr>
        <w:pStyle w:val="10"/>
        <w:spacing w:line="440" w:lineRule="exact"/>
        <w:ind w:firstLine="420" w:firstLineChars="200"/>
        <w:rPr>
          <w:rFonts w:hAnsi="宋体" w:cs="宋体"/>
        </w:rPr>
      </w:pPr>
      <w:r>
        <w:rPr>
          <w:rFonts w:hint="eastAsia" w:hAnsi="宋体" w:cs="宋体"/>
        </w:rPr>
        <w:t>六、不可抗力</w:t>
      </w:r>
    </w:p>
    <w:p>
      <w:pPr>
        <w:pStyle w:val="10"/>
        <w:spacing w:line="440" w:lineRule="exact"/>
        <w:ind w:firstLine="420" w:firstLineChars="200"/>
        <w:rPr>
          <w:rFonts w:hAnsi="宋体" w:cs="宋体"/>
        </w:rPr>
      </w:pPr>
      <w:r>
        <w:rPr>
          <w:rFonts w:hint="eastAsia" w:hAnsi="宋体" w:cs="宋体"/>
        </w:rPr>
        <w:t>1、甲、乙双方如果因不可抗力而导致协议义务的延误或不能履行，不承担误期赔偿或终止协议的责任。</w:t>
      </w:r>
    </w:p>
    <w:p>
      <w:pPr>
        <w:pStyle w:val="10"/>
        <w:spacing w:line="440" w:lineRule="exact"/>
        <w:ind w:firstLine="420" w:firstLineChars="200"/>
        <w:rPr>
          <w:rFonts w:hAnsi="宋体" w:cs="宋体"/>
        </w:rPr>
      </w:pPr>
      <w:r>
        <w:rPr>
          <w:rFonts w:hint="eastAsia" w:hAnsi="宋体" w:cs="宋体"/>
        </w:rPr>
        <w:t>2、本条所述的“不可抗力”系指下列甲、乙双方无法控制、不可预见的事件，但不包括甲、乙双方的违约或疏忽。这些事件包括：战争、严重火灾、洪水、台风、地震以及其他甲方和乙方商定的事件。</w:t>
      </w:r>
    </w:p>
    <w:p>
      <w:pPr>
        <w:pStyle w:val="10"/>
        <w:spacing w:line="440" w:lineRule="exact"/>
        <w:ind w:firstLine="420" w:firstLineChars="200"/>
        <w:rPr>
          <w:rFonts w:hAnsi="宋体" w:cs="宋体"/>
        </w:rPr>
      </w:pPr>
      <w:r>
        <w:rPr>
          <w:rFonts w:hint="eastAsia" w:hAnsi="宋体" w:cs="宋体"/>
        </w:rPr>
        <w:t>3、在不可抗力事件发生后，受影响的一方应尽快以书面形式将不可抗力的情况和原因通知另一方。除书面另行要求外，受影响的一方应尽实际可能继续履行其相应义务，以及寻求采取合理的方案履行不受不可抗力影响的其他事项。如果不可抗力事件影响时间持续20天以上的，甲乙双方通过友好协商在合理的时间内达成进一步履行服务义务的协议。</w:t>
      </w:r>
    </w:p>
    <w:p>
      <w:pPr>
        <w:pStyle w:val="10"/>
        <w:spacing w:line="440" w:lineRule="exact"/>
        <w:ind w:firstLine="420" w:firstLineChars="200"/>
        <w:rPr>
          <w:rFonts w:hAnsi="宋体" w:cs="宋体"/>
        </w:rPr>
      </w:pPr>
      <w:r>
        <w:rPr>
          <w:rFonts w:hint="eastAsia" w:hAnsi="宋体" w:cs="宋体"/>
        </w:rPr>
        <w:t>七、合同的变更和终止</w:t>
      </w:r>
    </w:p>
    <w:p>
      <w:pPr>
        <w:pStyle w:val="10"/>
        <w:spacing w:line="440" w:lineRule="exact"/>
        <w:ind w:firstLine="420" w:firstLineChars="200"/>
        <w:rPr>
          <w:rFonts w:hAnsi="宋体" w:cs="宋体"/>
        </w:rPr>
      </w:pPr>
      <w:r>
        <w:rPr>
          <w:rFonts w:hint="eastAsia" w:hAnsi="宋体" w:cs="宋体"/>
        </w:rPr>
        <w:t>1、本合同一经签订，甲乙双方不得擅自变更、中止或终止合同。</w:t>
      </w:r>
    </w:p>
    <w:p>
      <w:pPr>
        <w:pStyle w:val="10"/>
        <w:spacing w:line="440" w:lineRule="exact"/>
        <w:ind w:firstLine="420" w:firstLineChars="200"/>
        <w:rPr>
          <w:rFonts w:hAnsi="宋体" w:cs="宋体"/>
        </w:rPr>
      </w:pPr>
      <w:r>
        <w:rPr>
          <w:rFonts w:hint="eastAsia" w:hAnsi="宋体" w:cs="宋体"/>
        </w:rPr>
        <w:t>2、除发生法律规定的不能预见、不能避免并不能克服的客观情况外，甲乙双方不得放弃或拒绝履行合同。</w:t>
      </w:r>
    </w:p>
    <w:p>
      <w:pPr>
        <w:pStyle w:val="10"/>
        <w:spacing w:line="440" w:lineRule="exact"/>
        <w:ind w:firstLine="420" w:firstLineChars="200"/>
        <w:rPr>
          <w:rFonts w:hAnsi="宋体" w:cs="宋体"/>
        </w:rPr>
      </w:pPr>
      <w:r>
        <w:rPr>
          <w:rFonts w:hint="eastAsia" w:hAnsi="宋体" w:cs="宋体"/>
        </w:rPr>
        <w:t>3、甲方如果变更项目计划或增减工作量，须在乙方设备和人员调动之前通知乙方。</w:t>
      </w:r>
    </w:p>
    <w:p>
      <w:pPr>
        <w:pStyle w:val="10"/>
        <w:spacing w:line="440" w:lineRule="exact"/>
        <w:ind w:firstLine="420" w:firstLineChars="200"/>
        <w:rPr>
          <w:rFonts w:hAnsi="宋体" w:cs="宋体"/>
        </w:rPr>
      </w:pPr>
      <w:r>
        <w:rPr>
          <w:rFonts w:hint="eastAsia" w:hAnsi="宋体" w:cs="宋体"/>
        </w:rPr>
        <w:t>八、合同争议的解决方式</w:t>
      </w:r>
    </w:p>
    <w:p>
      <w:pPr>
        <w:pStyle w:val="10"/>
        <w:spacing w:line="440" w:lineRule="exact"/>
        <w:ind w:firstLine="420" w:firstLineChars="200"/>
        <w:rPr>
          <w:rFonts w:hAnsi="宋体" w:cs="宋体"/>
        </w:rPr>
      </w:pPr>
      <w:r>
        <w:rPr>
          <w:rFonts w:hint="eastAsia" w:hAnsi="宋体" w:cs="宋体"/>
        </w:rPr>
        <w:t>1、因履行本合同引起的或与本合同有关的争议，甲、乙双方应首先通过友好协商解决，如果协商不能解决争议，则采取以下第②种方式解决争议：</w:t>
      </w:r>
    </w:p>
    <w:p>
      <w:pPr>
        <w:pStyle w:val="10"/>
        <w:spacing w:line="440" w:lineRule="exact"/>
        <w:ind w:firstLine="420" w:firstLineChars="200"/>
        <w:rPr>
          <w:rFonts w:hAnsi="宋体" w:cs="宋体"/>
        </w:rPr>
      </w:pPr>
      <w:r>
        <w:rPr>
          <w:rFonts w:hint="eastAsia" w:hAnsi="宋体" w:cs="宋体"/>
        </w:rPr>
        <w:t>①向甲方所在地人民法院提起诉讼；</w:t>
      </w:r>
    </w:p>
    <w:p>
      <w:pPr>
        <w:pStyle w:val="10"/>
        <w:spacing w:line="440" w:lineRule="exact"/>
        <w:ind w:firstLine="420" w:firstLineChars="200"/>
        <w:rPr>
          <w:rFonts w:hAnsi="宋体" w:cs="宋体"/>
        </w:rPr>
      </w:pPr>
      <w:r>
        <w:rPr>
          <w:rFonts w:hint="eastAsia" w:hAnsi="宋体" w:cs="宋体"/>
        </w:rPr>
        <w:t>②向甲方所在地仲裁委员会即常州仲裁委员会按其仲裁规则申请仲裁。</w:t>
      </w:r>
    </w:p>
    <w:p>
      <w:pPr>
        <w:pStyle w:val="10"/>
        <w:spacing w:line="440" w:lineRule="exact"/>
        <w:ind w:firstLine="420" w:firstLineChars="200"/>
        <w:rPr>
          <w:rFonts w:hAnsi="宋体" w:cs="宋体"/>
        </w:rPr>
      </w:pPr>
      <w:r>
        <w:rPr>
          <w:rFonts w:hint="eastAsia" w:hAnsi="宋体" w:cs="宋体"/>
        </w:rPr>
        <w:t>如没有约定，默认采取第②种方式解决争议。</w:t>
      </w:r>
    </w:p>
    <w:p>
      <w:pPr>
        <w:pStyle w:val="10"/>
        <w:spacing w:line="440" w:lineRule="exact"/>
        <w:ind w:firstLine="420" w:firstLineChars="200"/>
        <w:rPr>
          <w:rFonts w:hAnsi="宋体" w:cs="宋体"/>
        </w:rPr>
      </w:pPr>
      <w:r>
        <w:rPr>
          <w:rFonts w:hint="eastAsia" w:hAnsi="宋体" w:cs="宋体"/>
        </w:rPr>
        <w:t>2、在法院审理和仲裁期间，除有争议部分外，本合同其他部分应继续履行。</w:t>
      </w:r>
    </w:p>
    <w:p>
      <w:pPr>
        <w:pStyle w:val="10"/>
        <w:spacing w:line="440" w:lineRule="exact"/>
        <w:ind w:firstLine="420" w:firstLineChars="200"/>
        <w:rPr>
          <w:rFonts w:hAnsi="宋体" w:cs="宋体"/>
        </w:rPr>
      </w:pPr>
      <w:r>
        <w:rPr>
          <w:rFonts w:hint="eastAsia" w:hAnsi="宋体" w:cs="宋体"/>
        </w:rPr>
        <w:t>九、不可抗力</w:t>
      </w:r>
    </w:p>
    <w:p>
      <w:pPr>
        <w:pStyle w:val="10"/>
        <w:spacing w:line="440" w:lineRule="exact"/>
        <w:ind w:firstLine="420" w:firstLineChars="200"/>
        <w:rPr>
          <w:rFonts w:hAnsi="宋体" w:cs="宋体"/>
        </w:rPr>
      </w:pPr>
      <w:r>
        <w:rPr>
          <w:rFonts w:hint="eastAsia" w:hAnsi="宋体" w:cs="宋体"/>
        </w:rPr>
        <w:t>1、不可抗力，是指不能预见、不能避免并不能克服的客观情况，如战争、动乱、瘟疫、 严重火灾、洪水、地震、风暴或其他自然灾害等。</w:t>
      </w:r>
    </w:p>
    <w:p>
      <w:pPr>
        <w:pStyle w:val="10"/>
        <w:spacing w:line="440" w:lineRule="exact"/>
        <w:ind w:firstLine="420" w:firstLineChars="200"/>
        <w:rPr>
          <w:rFonts w:hAnsi="宋体" w:cs="宋体"/>
        </w:rPr>
      </w:pPr>
      <w:r>
        <w:rPr>
          <w:rFonts w:hint="eastAsia" w:hAnsi="宋体" w:cs="宋体"/>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pPr>
        <w:pStyle w:val="10"/>
        <w:spacing w:line="440" w:lineRule="exact"/>
        <w:ind w:firstLine="420" w:firstLineChars="200"/>
        <w:rPr>
          <w:rFonts w:hAnsi="宋体" w:cs="宋体"/>
        </w:rPr>
      </w:pPr>
      <w:r>
        <w:rPr>
          <w:rFonts w:hint="eastAsia" w:hAnsi="宋体" w:cs="宋体"/>
        </w:rPr>
        <w:t>3、发生不可抗力事件，任何一方均不对因不可抗力无法履行或迟延履行本合同义务而使另一方蒙受的任何损失承担责任，法律另有规定的除外。</w:t>
      </w:r>
    </w:p>
    <w:p>
      <w:pPr>
        <w:pStyle w:val="10"/>
        <w:spacing w:line="440" w:lineRule="exact"/>
        <w:ind w:firstLine="420" w:firstLineChars="200"/>
        <w:rPr>
          <w:rFonts w:hAnsi="宋体" w:cs="宋体"/>
        </w:rPr>
      </w:pPr>
      <w:r>
        <w:rPr>
          <w:rFonts w:hint="eastAsia" w:hAnsi="宋体" w:cs="宋体"/>
        </w:rPr>
        <w:t>4、合同各方应根据不可抗力对本合同履行的影响程度，协商确定是否终止本合同或是继续履行本合同。</w:t>
      </w:r>
    </w:p>
    <w:p>
      <w:pPr>
        <w:pStyle w:val="10"/>
        <w:spacing w:line="440" w:lineRule="exact"/>
        <w:ind w:firstLine="420" w:firstLineChars="200"/>
        <w:rPr>
          <w:rFonts w:hAnsi="宋体" w:cs="宋体"/>
        </w:rPr>
      </w:pPr>
      <w:r>
        <w:rPr>
          <w:rFonts w:hint="eastAsia" w:hAnsi="宋体" w:cs="宋体"/>
        </w:rPr>
        <w:t>十、其他（上述条款未尽事宜，如中介方的权利、义务、服务费及其支付方式、定金、财产抵押及担保等）</w:t>
      </w:r>
    </w:p>
    <w:p>
      <w:pPr>
        <w:pStyle w:val="10"/>
        <w:spacing w:line="440" w:lineRule="exact"/>
        <w:ind w:firstLine="420" w:firstLineChars="200"/>
        <w:rPr>
          <w:rFonts w:hAnsi="宋体" w:cs="宋体"/>
        </w:rPr>
      </w:pPr>
      <w:r>
        <w:rPr>
          <w:rFonts w:hint="eastAsia" w:hAnsi="宋体" w:cs="宋体"/>
        </w:rPr>
        <w:t>1、本合同自经甲乙双方签订并加盖公章后，自签订之日起生效。</w:t>
      </w:r>
    </w:p>
    <w:p>
      <w:pPr>
        <w:pStyle w:val="10"/>
        <w:spacing w:line="440" w:lineRule="exact"/>
        <w:ind w:firstLine="420" w:firstLineChars="200"/>
        <w:rPr>
          <w:rFonts w:hAnsi="宋体" w:cs="宋体"/>
        </w:rPr>
      </w:pPr>
      <w:r>
        <w:rPr>
          <w:rFonts w:hint="eastAsia" w:hAnsi="宋体" w:cs="宋体"/>
        </w:rPr>
        <w:t>2、乙方对项目信息及现场状况有保密责任，未经甲方同意，不得以任何方式提供给第三方，由此产生的后果均由乙方负责。本次合同约定的成果只有甲方享有使用权。</w:t>
      </w:r>
    </w:p>
    <w:p>
      <w:pPr>
        <w:pStyle w:val="10"/>
        <w:spacing w:line="440" w:lineRule="exact"/>
        <w:ind w:firstLine="420" w:firstLineChars="200"/>
        <w:rPr>
          <w:rFonts w:hAnsi="宋体" w:cs="宋体"/>
        </w:rPr>
      </w:pPr>
      <w:r>
        <w:rPr>
          <w:rFonts w:hint="eastAsia" w:hAnsi="宋体" w:cs="宋体"/>
        </w:rPr>
        <w:t>3、本合同未尽事宜，双方协商解决。</w:t>
      </w:r>
    </w:p>
    <w:p>
      <w:pPr>
        <w:pStyle w:val="10"/>
        <w:spacing w:line="440" w:lineRule="exact"/>
        <w:ind w:firstLine="420" w:firstLineChars="200"/>
        <w:rPr>
          <w:rFonts w:hAnsi="宋体" w:cs="宋体"/>
        </w:rPr>
      </w:pPr>
      <w:r>
        <w:rPr>
          <w:rFonts w:hint="eastAsia" w:hAnsi="宋体" w:cs="宋体"/>
        </w:rPr>
        <w:t>4、本合同应按照中华人民共和国的现行法律进行解释。</w:t>
      </w:r>
    </w:p>
    <w:p>
      <w:pPr>
        <w:pStyle w:val="10"/>
        <w:spacing w:line="440" w:lineRule="exact"/>
        <w:ind w:firstLine="420" w:firstLineChars="200"/>
        <w:rPr>
          <w:rFonts w:hAnsi="宋体" w:cs="宋体"/>
        </w:rPr>
      </w:pPr>
      <w:r>
        <w:rPr>
          <w:rFonts w:hint="eastAsia" w:hAnsi="宋体" w:cs="宋体"/>
        </w:rPr>
        <w:t>5、本合同一式玖份，甲方持有肆份，乙方持有肆份，代理机构持有壹份。</w:t>
      </w:r>
    </w:p>
    <w:p>
      <w:pPr>
        <w:spacing w:line="440" w:lineRule="exact"/>
        <w:rPr>
          <w:rFonts w:ascii="宋体" w:hAnsi="宋体" w:cs="宋体"/>
          <w:b/>
          <w:bCs/>
          <w:szCs w:val="21"/>
        </w:rPr>
      </w:pPr>
      <w:r>
        <w:rPr>
          <w:rFonts w:hint="eastAsia" w:ascii="宋体" w:hAnsi="宋体" w:cs="宋体"/>
          <w:b/>
          <w:bCs/>
          <w:szCs w:val="21"/>
        </w:rPr>
        <w:t>注：最终以甲乙双方签订的合同条款为准。</w:t>
      </w:r>
    </w:p>
    <w:p>
      <w:pPr>
        <w:pStyle w:val="10"/>
        <w:spacing w:line="440" w:lineRule="exact"/>
        <w:ind w:firstLine="420" w:firstLineChars="200"/>
        <w:rPr>
          <w:rFonts w:hAnsi="宋体" w:cs="宋体"/>
        </w:rPr>
      </w:pPr>
    </w:p>
    <w:p>
      <w:pPr>
        <w:spacing w:line="440" w:lineRule="exact"/>
        <w:rPr>
          <w:rFonts w:ascii="宋体" w:hAnsi="宋体" w:cs="宋体"/>
          <w:color w:val="000000"/>
          <w:szCs w:val="21"/>
        </w:rPr>
      </w:pPr>
      <w:bookmarkStart w:id="8" w:name="_Toc16735_WPSOffice_Level2"/>
      <w:bookmarkStart w:id="9" w:name="_Toc7668_WPSOffice_Level2"/>
      <w:r>
        <w:rPr>
          <w:rFonts w:hint="eastAsia" w:ascii="宋体" w:hAnsi="宋体" w:cs="宋体"/>
          <w:b/>
          <w:bCs/>
          <w:color w:val="000000"/>
          <w:szCs w:val="21"/>
        </w:rPr>
        <w:t>甲    方</w:t>
      </w:r>
      <w:r>
        <w:rPr>
          <w:rFonts w:hint="eastAsia" w:ascii="宋体" w:hAnsi="宋体" w:cs="宋体"/>
          <w:color w:val="000000"/>
          <w:szCs w:val="21"/>
        </w:rPr>
        <w:t xml:space="preserve">：                               </w:t>
      </w:r>
      <w:r>
        <w:rPr>
          <w:rFonts w:hint="eastAsia" w:ascii="宋体" w:hAnsi="宋体" w:cs="宋体"/>
          <w:b/>
          <w:bCs/>
          <w:color w:val="000000"/>
          <w:szCs w:val="21"/>
        </w:rPr>
        <w:t>乙    方</w:t>
      </w:r>
      <w:r>
        <w:rPr>
          <w:rFonts w:hint="eastAsia" w:ascii="宋体" w:hAnsi="宋体" w:cs="宋体"/>
          <w:color w:val="000000"/>
          <w:szCs w:val="21"/>
        </w:rPr>
        <w:t>：</w:t>
      </w:r>
      <w:bookmarkEnd w:id="8"/>
      <w:bookmarkEnd w:id="9"/>
    </w:p>
    <w:p>
      <w:pPr>
        <w:spacing w:line="440" w:lineRule="exact"/>
        <w:rPr>
          <w:rFonts w:ascii="宋体" w:hAnsi="宋体" w:cs="宋体"/>
          <w:color w:val="000000"/>
          <w:szCs w:val="21"/>
          <w:u w:val="single"/>
        </w:rPr>
      </w:pPr>
      <w:r>
        <w:rPr>
          <w:rFonts w:hint="eastAsia" w:ascii="宋体" w:hAnsi="宋体" w:cs="宋体"/>
          <w:color w:val="000000"/>
          <w:szCs w:val="21"/>
        </w:rPr>
        <w:t>单位名称（章）：                         单位名称（章）：</w:t>
      </w:r>
    </w:p>
    <w:p>
      <w:pPr>
        <w:spacing w:line="440" w:lineRule="exact"/>
        <w:rPr>
          <w:rFonts w:ascii="宋体" w:hAnsi="宋体" w:cs="宋体"/>
          <w:color w:val="000000"/>
          <w:szCs w:val="21"/>
        </w:rPr>
      </w:pPr>
      <w:r>
        <w:rPr>
          <w:rFonts w:hint="eastAsia" w:ascii="宋体" w:hAnsi="宋体" w:cs="宋体"/>
          <w:color w:val="000000"/>
          <w:szCs w:val="21"/>
        </w:rPr>
        <w:t xml:space="preserve">单位地址：                               单位地址：                       </w:t>
      </w:r>
    </w:p>
    <w:p>
      <w:pPr>
        <w:spacing w:line="440" w:lineRule="exact"/>
        <w:rPr>
          <w:rFonts w:ascii="宋体" w:hAnsi="宋体" w:cs="宋体"/>
          <w:color w:val="000000"/>
          <w:szCs w:val="21"/>
        </w:rPr>
      </w:pPr>
      <w:r>
        <w:rPr>
          <w:rFonts w:hint="eastAsia" w:ascii="宋体" w:hAnsi="宋体" w:cs="宋体"/>
          <w:color w:val="000000"/>
          <w:szCs w:val="21"/>
        </w:rPr>
        <w:t xml:space="preserve">法定代表人：       委托代理人：           法定代表人：      委托代理人：                            </w:t>
      </w:r>
    </w:p>
    <w:p>
      <w:pPr>
        <w:spacing w:line="440" w:lineRule="exact"/>
        <w:rPr>
          <w:rFonts w:ascii="宋体" w:hAnsi="宋体" w:cs="宋体"/>
          <w:color w:val="000000"/>
          <w:szCs w:val="21"/>
        </w:rPr>
      </w:pPr>
      <w:r>
        <w:rPr>
          <w:rFonts w:hint="eastAsia" w:ascii="宋体" w:hAnsi="宋体" w:cs="宋体"/>
          <w:color w:val="000000"/>
          <w:szCs w:val="21"/>
        </w:rPr>
        <w:t>电话：                                   电话：            传真：</w:t>
      </w:r>
    </w:p>
    <w:p>
      <w:pPr>
        <w:spacing w:line="440" w:lineRule="exact"/>
        <w:rPr>
          <w:rFonts w:ascii="宋体" w:hAnsi="宋体" w:cs="宋体"/>
          <w:szCs w:val="21"/>
        </w:rPr>
      </w:pPr>
      <w:r>
        <w:rPr>
          <w:rFonts w:hint="eastAsia" w:ascii="宋体" w:hAnsi="宋体" w:cs="宋体"/>
          <w:color w:val="000000"/>
          <w:szCs w:val="21"/>
        </w:rPr>
        <w:t xml:space="preserve">传真：                                   开户银行：        帐号：                   </w:t>
      </w:r>
      <w:r>
        <w:rPr>
          <w:rFonts w:hint="eastAsia" w:ascii="宋体" w:hAnsi="宋体" w:cs="宋体"/>
          <w:szCs w:val="21"/>
        </w:rPr>
        <w:t xml:space="preserve">                                                                                </w:t>
      </w:r>
    </w:p>
    <w:p>
      <w:pPr>
        <w:spacing w:line="440" w:lineRule="exact"/>
        <w:rPr>
          <w:rFonts w:ascii="宋体" w:hAnsi="宋体" w:cs="宋体"/>
          <w:szCs w:val="21"/>
        </w:rPr>
      </w:pPr>
      <w:r>
        <w:rPr>
          <w:rFonts w:hint="eastAsia" w:ascii="宋体" w:hAnsi="宋体" w:cs="宋体"/>
          <w:b/>
          <w:bCs/>
          <w:szCs w:val="21"/>
        </w:rPr>
        <w:t>代理机构</w:t>
      </w:r>
      <w:r>
        <w:rPr>
          <w:rFonts w:hint="eastAsia" w:ascii="宋体" w:hAnsi="宋体" w:cs="宋体"/>
          <w:szCs w:val="21"/>
        </w:rPr>
        <w:t>：</w:t>
      </w:r>
    </w:p>
    <w:p>
      <w:pPr>
        <w:tabs>
          <w:tab w:val="left" w:pos="3780"/>
        </w:tabs>
        <w:spacing w:line="440" w:lineRule="exact"/>
        <w:rPr>
          <w:rFonts w:ascii="宋体" w:hAnsi="宋体" w:cs="宋体"/>
          <w:szCs w:val="21"/>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b/>
          <w:bCs/>
          <w:szCs w:val="21"/>
          <w:u w:val="single"/>
        </w:rPr>
        <w:t>常州市恒卓建设工程管理咨询有限公司</w:t>
      </w:r>
      <w:r>
        <w:rPr>
          <w:rFonts w:hint="eastAsia" w:ascii="宋体" w:hAnsi="宋体" w:cs="宋体"/>
          <w:szCs w:val="21"/>
          <w:u w:val="single"/>
        </w:rPr>
        <w:t xml:space="preserve"> </w:t>
      </w:r>
      <w:r>
        <w:rPr>
          <w:rFonts w:hint="eastAsia" w:ascii="宋体" w:hAnsi="宋体" w:cs="宋体"/>
          <w:szCs w:val="21"/>
        </w:rPr>
        <w:t xml:space="preserve">    </w:t>
      </w:r>
    </w:p>
    <w:p>
      <w:pPr>
        <w:tabs>
          <w:tab w:val="left" w:pos="3780"/>
        </w:tabs>
        <w:spacing w:line="440" w:lineRule="exact"/>
        <w:rPr>
          <w:rFonts w:ascii="宋体" w:hAnsi="宋体" w:cs="宋体"/>
          <w:szCs w:val="21"/>
          <w:u w:val="single"/>
        </w:rPr>
      </w:pPr>
      <w:r>
        <w:rPr>
          <w:rFonts w:hint="eastAsia" w:ascii="宋体" w:hAnsi="宋体" w:cs="宋体"/>
          <w:szCs w:val="21"/>
        </w:rPr>
        <w:t>单位地址：</w:t>
      </w:r>
      <w:r>
        <w:rPr>
          <w:rFonts w:hint="eastAsia" w:ascii="宋体" w:hAnsi="宋体" w:cs="宋体"/>
          <w:b/>
          <w:bCs/>
          <w:szCs w:val="21"/>
          <w:u w:val="single"/>
        </w:rPr>
        <w:t>常州市北塘河路8号恒生科技园44-2栋（一号大门往北一百米）　</w:t>
      </w:r>
    </w:p>
    <w:p>
      <w:pPr>
        <w:spacing w:line="440" w:lineRule="exact"/>
        <w:rPr>
          <w:rFonts w:ascii="宋体" w:hAnsi="宋体" w:cs="宋体"/>
          <w:szCs w:val="21"/>
        </w:rPr>
      </w:pPr>
      <w:r>
        <w:rPr>
          <w:rFonts w:hint="eastAsia" w:ascii="宋体" w:hAnsi="宋体" w:cs="宋体"/>
          <w:szCs w:val="21"/>
        </w:rPr>
        <w:t>法定代表人：                           委托代理人：</w:t>
      </w:r>
    </w:p>
    <w:p>
      <w:pPr>
        <w:spacing w:line="440" w:lineRule="exact"/>
        <w:rPr>
          <w:rFonts w:ascii="宋体" w:hAnsi="宋体" w:cs="宋体"/>
          <w:b/>
          <w:bCs/>
          <w:kern w:val="0"/>
          <w:szCs w:val="21"/>
        </w:rPr>
      </w:pPr>
      <w:r>
        <w:rPr>
          <w:rFonts w:hint="eastAsia" w:ascii="宋体" w:hAnsi="宋体" w:cs="宋体"/>
          <w:szCs w:val="21"/>
        </w:rPr>
        <w:t>经办人：                               电  话：</w:t>
      </w:r>
    </w:p>
    <w:p>
      <w:pPr>
        <w:widowControl/>
        <w:snapToGrid w:val="0"/>
        <w:spacing w:line="480" w:lineRule="auto"/>
        <w:ind w:right="-153"/>
        <w:jc w:val="center"/>
        <w:rPr>
          <w:rFonts w:ascii="宋体" w:hAnsi="宋体" w:cs="宋体"/>
          <w:b/>
          <w:bCs/>
          <w:kern w:val="0"/>
          <w:sz w:val="30"/>
          <w:szCs w:val="30"/>
        </w:rPr>
      </w:pPr>
    </w:p>
    <w:p>
      <w:pPr>
        <w:widowControl/>
        <w:snapToGrid w:val="0"/>
        <w:spacing w:line="480" w:lineRule="auto"/>
        <w:ind w:right="-153"/>
        <w:jc w:val="center"/>
        <w:rPr>
          <w:rFonts w:ascii="宋体" w:hAnsi="宋体" w:cs="宋体"/>
          <w:b/>
          <w:bCs/>
          <w:kern w:val="0"/>
          <w:sz w:val="30"/>
          <w:szCs w:val="30"/>
        </w:rPr>
      </w:pPr>
    </w:p>
    <w:p>
      <w:pPr>
        <w:widowControl/>
        <w:snapToGrid w:val="0"/>
        <w:spacing w:line="480" w:lineRule="auto"/>
        <w:ind w:right="-153"/>
        <w:jc w:val="center"/>
        <w:rPr>
          <w:rFonts w:ascii="宋体" w:hAnsi="宋体" w:cs="宋体"/>
          <w:kern w:val="0"/>
          <w:szCs w:val="21"/>
        </w:rPr>
      </w:pP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60"/>
        <w:spacing w:line="360" w:lineRule="exact"/>
        <w:rPr>
          <w:rFonts w:cs="宋体"/>
          <w:b/>
          <w:color w:val="000000"/>
          <w:sz w:val="32"/>
        </w:rPr>
      </w:pPr>
      <w:bookmarkStart w:id="10" w:name="_Toc322436002"/>
      <w:bookmarkStart w:id="11" w:name="_Toc322436237"/>
      <w:bookmarkStart w:id="12" w:name="_Toc330998561"/>
      <w:bookmarkStart w:id="13" w:name="_Toc322435832"/>
      <w:bookmarkStart w:id="14" w:name="_Toc331061670"/>
      <w:bookmarkStart w:id="15" w:name="_Toc331056449"/>
      <w:bookmarkStart w:id="16" w:name="_Toc322436057"/>
      <w:r>
        <w:rPr>
          <w:rFonts w:hint="eastAsia" w:cs="宋体"/>
          <w:b/>
          <w:color w:val="000000"/>
          <w:sz w:val="28"/>
          <w:szCs w:val="28"/>
        </w:rPr>
        <w:t>附件1、投标函</w:t>
      </w:r>
      <w:r>
        <w:rPr>
          <w:rFonts w:hint="eastAsia" w:cs="宋体"/>
          <w:b/>
          <w:color w:val="000000"/>
          <w:sz w:val="32"/>
        </w:rPr>
        <w:t xml:space="preserve"> </w:t>
      </w:r>
    </w:p>
    <w:p>
      <w:pPr>
        <w:pStyle w:val="18"/>
        <w:rPr>
          <w:rFonts w:ascii="宋体" w:hAnsi="宋体" w:cs="宋体"/>
        </w:rPr>
      </w:pPr>
    </w:p>
    <w:p>
      <w:pPr>
        <w:pStyle w:val="60"/>
        <w:spacing w:line="360" w:lineRule="exact"/>
        <w:jc w:val="center"/>
        <w:rPr>
          <w:rFonts w:cs="宋体"/>
          <w:b/>
          <w:color w:val="000000"/>
          <w:sz w:val="32"/>
        </w:rPr>
      </w:pPr>
      <w:r>
        <w:rPr>
          <w:rFonts w:hint="eastAsia" w:cs="宋体"/>
          <w:b/>
          <w:color w:val="000000"/>
          <w:sz w:val="32"/>
        </w:rPr>
        <w:t>投  标  函</w:t>
      </w:r>
    </w:p>
    <w:p>
      <w:pPr>
        <w:pStyle w:val="60"/>
        <w:spacing w:line="360" w:lineRule="exact"/>
        <w:rPr>
          <w:rFonts w:cs="宋体"/>
          <w:color w:val="000000"/>
          <w:sz w:val="21"/>
          <w:szCs w:val="21"/>
        </w:rPr>
      </w:pPr>
      <w:r>
        <w:rPr>
          <w:rFonts w:hint="eastAsia" w:cs="宋体"/>
          <w:color w:val="000000"/>
          <w:sz w:val="21"/>
          <w:szCs w:val="21"/>
          <w:u w:val="single"/>
        </w:rPr>
        <w:t xml:space="preserve">常州市恒卓建设工程管理咨询有限公司 </w:t>
      </w:r>
      <w:r>
        <w:rPr>
          <w:rFonts w:hint="eastAsia" w:cs="宋体"/>
          <w:color w:val="000000"/>
          <w:sz w:val="21"/>
          <w:szCs w:val="21"/>
        </w:rPr>
        <w:t>：</w:t>
      </w:r>
    </w:p>
    <w:p>
      <w:pPr>
        <w:pStyle w:val="60"/>
        <w:spacing w:line="360" w:lineRule="exact"/>
        <w:rPr>
          <w:rFonts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60"/>
        <w:spacing w:line="360" w:lineRule="exact"/>
        <w:ind w:firstLine="420" w:firstLineChars="200"/>
        <w:rPr>
          <w:rFonts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60"/>
        <w:spacing w:line="360" w:lineRule="exact"/>
        <w:ind w:firstLine="420" w:firstLineChars="200"/>
        <w:rPr>
          <w:rFonts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60"/>
        <w:spacing w:line="360" w:lineRule="exact"/>
        <w:ind w:firstLine="420" w:firstLineChars="200"/>
        <w:rPr>
          <w:rFonts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60"/>
        <w:spacing w:line="360" w:lineRule="exact"/>
        <w:rPr>
          <w:rFonts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60"/>
        <w:spacing w:line="360" w:lineRule="exact"/>
        <w:rPr>
          <w:rFonts w:cs="宋体"/>
          <w:color w:val="000000"/>
          <w:sz w:val="21"/>
          <w:szCs w:val="21"/>
        </w:rPr>
      </w:pPr>
      <w:r>
        <w:rPr>
          <w:rFonts w:hint="eastAsia" w:cs="宋体"/>
          <w:color w:val="000000"/>
          <w:sz w:val="21"/>
          <w:szCs w:val="21"/>
        </w:rPr>
        <w:t xml:space="preserve">    5.我们愿意提供代理机构在招标文件中要求的所有资料。</w:t>
      </w:r>
    </w:p>
    <w:p>
      <w:pPr>
        <w:pStyle w:val="60"/>
        <w:spacing w:line="360" w:lineRule="exact"/>
        <w:rPr>
          <w:rFonts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60"/>
        <w:spacing w:line="360" w:lineRule="exact"/>
        <w:rPr>
          <w:rFonts w:cs="宋体"/>
          <w:color w:val="000000"/>
          <w:sz w:val="21"/>
          <w:szCs w:val="21"/>
        </w:rPr>
      </w:pPr>
      <w:r>
        <w:rPr>
          <w:rFonts w:hint="eastAsia" w:cs="宋体"/>
          <w:color w:val="000000"/>
          <w:sz w:val="21"/>
          <w:szCs w:val="21"/>
        </w:rPr>
        <w:t xml:space="preserve">    7.我们愿意遵守招标标文件中所列的收费标准。</w:t>
      </w:r>
    </w:p>
    <w:p>
      <w:pPr>
        <w:pStyle w:val="60"/>
        <w:spacing w:line="360" w:lineRule="exact"/>
        <w:rPr>
          <w:rFonts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60"/>
        <w:spacing w:line="360" w:lineRule="exact"/>
        <w:ind w:firstLine="480"/>
        <w:rPr>
          <w:rFonts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60"/>
        <w:spacing w:line="360" w:lineRule="exact"/>
        <w:ind w:firstLine="480"/>
        <w:rPr>
          <w:rFonts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61"/>
        <w:spacing w:line="360" w:lineRule="exact"/>
        <w:ind w:firstLine="401" w:firstLineChars="191"/>
        <w:rPr>
          <w:rFonts w:eastAsia="宋体" w:cs="宋体"/>
          <w:color w:val="000000"/>
          <w:sz w:val="21"/>
          <w:szCs w:val="21"/>
        </w:rPr>
      </w:pPr>
      <w:r>
        <w:rPr>
          <w:rFonts w:hint="eastAsia" w:eastAsia="宋体" w:cs="宋体"/>
          <w:color w:val="000000"/>
          <w:sz w:val="21"/>
          <w:szCs w:val="21"/>
        </w:rPr>
        <w:t>11. 经我单位研究招标文件后，愿以人民币（含税）</w:t>
      </w:r>
      <w:r>
        <w:rPr>
          <w:rFonts w:hint="eastAsia" w:eastAsia="宋体" w:cs="宋体"/>
          <w:color w:val="000000"/>
          <w:sz w:val="21"/>
          <w:szCs w:val="21"/>
          <w:u w:val="single"/>
        </w:rPr>
        <w:t xml:space="preserve">       元 </w:t>
      </w:r>
      <w:r>
        <w:rPr>
          <w:rFonts w:hint="eastAsia" w:eastAsia="宋体" w:cs="宋体"/>
          <w:color w:val="000000"/>
          <w:sz w:val="21"/>
          <w:szCs w:val="21"/>
        </w:rPr>
        <w:t>（小写：</w:t>
      </w:r>
      <w:r>
        <w:rPr>
          <w:rFonts w:hint="eastAsia" w:eastAsia="宋体" w:cs="宋体"/>
          <w:color w:val="000000"/>
          <w:sz w:val="21"/>
          <w:szCs w:val="21"/>
          <w:u w:val="single"/>
        </w:rPr>
        <w:t xml:space="preserve">      元 </w:t>
      </w:r>
      <w:r>
        <w:rPr>
          <w:rFonts w:hint="eastAsia" w:eastAsia="宋体" w:cs="宋体"/>
          <w:color w:val="000000"/>
          <w:sz w:val="21"/>
          <w:szCs w:val="21"/>
        </w:rPr>
        <w:t>）报价，按招标文件要求承包本次招标范围内的全部工程。</w:t>
      </w:r>
    </w:p>
    <w:p>
      <w:pPr>
        <w:pStyle w:val="60"/>
        <w:spacing w:line="360" w:lineRule="exact"/>
        <w:rPr>
          <w:rFonts w:cs="宋体"/>
          <w:sz w:val="21"/>
          <w:szCs w:val="21"/>
        </w:rPr>
      </w:pPr>
    </w:p>
    <w:p>
      <w:pPr>
        <w:pStyle w:val="60"/>
        <w:spacing w:line="360" w:lineRule="exact"/>
        <w:ind w:firstLine="405"/>
        <w:rPr>
          <w:rFonts w:cs="宋体"/>
          <w:color w:val="000000"/>
          <w:sz w:val="21"/>
          <w:szCs w:val="21"/>
        </w:rPr>
      </w:pPr>
      <w:r>
        <w:rPr>
          <w:rFonts w:hint="eastAsia" w:cs="宋体"/>
          <w:color w:val="000000"/>
          <w:sz w:val="21"/>
          <w:szCs w:val="21"/>
        </w:rPr>
        <w:t>所有有关投标文件的函电，请按下列地址联系：</w:t>
      </w:r>
    </w:p>
    <w:p>
      <w:pPr>
        <w:pStyle w:val="18"/>
        <w:ind w:left="0" w:firstLine="405"/>
        <w:rPr>
          <w:rFonts w:ascii="宋体" w:hAnsi="宋体" w:cs="宋体"/>
        </w:rPr>
      </w:pPr>
    </w:p>
    <w:p>
      <w:pPr>
        <w:pStyle w:val="60"/>
        <w:spacing w:line="360" w:lineRule="exact"/>
        <w:rPr>
          <w:rFonts w:cs="宋体"/>
          <w:color w:val="000000"/>
          <w:sz w:val="21"/>
          <w:szCs w:val="21"/>
        </w:rPr>
      </w:pPr>
      <w:r>
        <w:rPr>
          <w:rFonts w:hint="eastAsia" w:cs="宋体"/>
          <w:color w:val="000000"/>
          <w:sz w:val="21"/>
          <w:szCs w:val="21"/>
        </w:rPr>
        <w:t>投标单位：</w:t>
      </w:r>
    </w:p>
    <w:p>
      <w:pPr>
        <w:pStyle w:val="60"/>
        <w:spacing w:line="360" w:lineRule="exact"/>
        <w:rPr>
          <w:rFonts w:cs="宋体"/>
          <w:color w:val="000000"/>
          <w:sz w:val="21"/>
          <w:szCs w:val="21"/>
        </w:rPr>
      </w:pPr>
      <w:r>
        <w:rPr>
          <w:rFonts w:hint="eastAsia" w:cs="宋体"/>
          <w:color w:val="000000"/>
          <w:sz w:val="21"/>
          <w:szCs w:val="21"/>
        </w:rPr>
        <w:t>联系人：</w:t>
      </w:r>
    </w:p>
    <w:p>
      <w:pPr>
        <w:pStyle w:val="60"/>
        <w:spacing w:line="360" w:lineRule="exact"/>
        <w:rPr>
          <w:rFonts w:cs="宋体"/>
          <w:color w:val="000000"/>
          <w:sz w:val="21"/>
          <w:szCs w:val="21"/>
        </w:rPr>
      </w:pPr>
      <w:r>
        <w:rPr>
          <w:rFonts w:hint="eastAsia" w:cs="宋体"/>
          <w:color w:val="000000"/>
          <w:sz w:val="21"/>
          <w:szCs w:val="21"/>
        </w:rPr>
        <w:t>地址：                                      邮政编码：</w:t>
      </w:r>
    </w:p>
    <w:p>
      <w:pPr>
        <w:pStyle w:val="60"/>
        <w:spacing w:line="360" w:lineRule="exact"/>
        <w:rPr>
          <w:rFonts w:cs="宋体"/>
          <w:color w:val="000000"/>
          <w:sz w:val="21"/>
          <w:szCs w:val="21"/>
        </w:rPr>
      </w:pPr>
      <w:r>
        <w:rPr>
          <w:rFonts w:hint="eastAsia" w:cs="宋体"/>
          <w:color w:val="000000"/>
          <w:sz w:val="21"/>
          <w:szCs w:val="21"/>
        </w:rPr>
        <w:t>联系电话：                                  传真：</w:t>
      </w:r>
    </w:p>
    <w:p>
      <w:pPr>
        <w:pStyle w:val="60"/>
        <w:spacing w:line="360" w:lineRule="exact"/>
        <w:ind w:left="3400" w:firstLine="525" w:firstLineChars="250"/>
        <w:rPr>
          <w:rFonts w:cs="宋体"/>
          <w:color w:val="000000"/>
          <w:sz w:val="21"/>
          <w:szCs w:val="21"/>
        </w:rPr>
      </w:pPr>
      <w:r>
        <w:rPr>
          <w:rFonts w:hint="eastAsia" w:cs="宋体"/>
          <w:color w:val="000000"/>
          <w:sz w:val="21"/>
          <w:szCs w:val="21"/>
        </w:rPr>
        <w:t>投标单位（盖章）：</w:t>
      </w:r>
    </w:p>
    <w:p>
      <w:pPr>
        <w:pStyle w:val="60"/>
        <w:spacing w:line="360" w:lineRule="exact"/>
        <w:ind w:left="3825" w:firstLine="105" w:firstLineChars="50"/>
        <w:rPr>
          <w:rFonts w:cs="宋体"/>
          <w:color w:val="000000"/>
          <w:sz w:val="21"/>
          <w:szCs w:val="21"/>
        </w:rPr>
      </w:pPr>
      <w:r>
        <w:rPr>
          <w:rFonts w:hint="eastAsia" w:cs="宋体"/>
          <w:color w:val="000000"/>
          <w:sz w:val="21"/>
          <w:szCs w:val="21"/>
        </w:rPr>
        <w:t>法定代表人或代理人（签字或盖章）：</w:t>
      </w:r>
    </w:p>
    <w:p>
      <w:pPr>
        <w:pStyle w:val="60"/>
        <w:spacing w:line="360" w:lineRule="exact"/>
        <w:ind w:firstLine="4620"/>
        <w:rPr>
          <w:rFonts w:cs="宋体"/>
          <w:color w:val="000000"/>
          <w:sz w:val="21"/>
          <w:szCs w:val="21"/>
        </w:rPr>
      </w:pPr>
      <w:r>
        <w:rPr>
          <w:rFonts w:hint="eastAsia" w:cs="宋体"/>
          <w:color w:val="000000"/>
          <w:sz w:val="21"/>
          <w:szCs w:val="21"/>
        </w:rPr>
        <w:t>年     月     日</w:t>
      </w:r>
    </w:p>
    <w:p>
      <w:pPr>
        <w:pStyle w:val="18"/>
        <w:rPr>
          <w:rFonts w:ascii="宋体" w:hAnsi="宋体" w:cs="宋体"/>
        </w:rPr>
      </w:pPr>
    </w:p>
    <w:bookmarkEnd w:id="10"/>
    <w:bookmarkEnd w:id="11"/>
    <w:bookmarkEnd w:id="12"/>
    <w:bookmarkEnd w:id="13"/>
    <w:bookmarkEnd w:id="14"/>
    <w:bookmarkEnd w:id="15"/>
    <w:bookmarkEnd w:id="16"/>
    <w:p>
      <w:pPr>
        <w:pStyle w:val="10"/>
        <w:snapToGrid w:val="0"/>
        <w:spacing w:line="360" w:lineRule="auto"/>
        <w:ind w:firstLine="482"/>
      </w:pPr>
    </w:p>
    <w:p>
      <w:pPr>
        <w:pStyle w:val="58"/>
        <w:spacing w:line="360" w:lineRule="exact"/>
        <w:outlineLvl w:val="1"/>
        <w:rPr>
          <w:rFonts w:cs="宋体"/>
          <w:b/>
          <w:sz w:val="28"/>
          <w:szCs w:val="28"/>
        </w:rPr>
      </w:pPr>
      <w:r>
        <w:rPr>
          <w:rFonts w:cs="Arial"/>
          <w:kern w:val="0"/>
          <w:szCs w:val="21"/>
        </w:rPr>
        <w:br w:type="page"/>
      </w:r>
      <w:bookmarkStart w:id="17" w:name="_Toc331061671"/>
      <w:bookmarkStart w:id="18" w:name="_Toc330998562"/>
      <w:bookmarkStart w:id="19" w:name="_Toc322436058"/>
      <w:bookmarkStart w:id="20" w:name="_Toc322436238"/>
      <w:bookmarkStart w:id="21" w:name="_Toc331056450"/>
      <w:bookmarkStart w:id="22" w:name="_Toc322436003"/>
      <w:bookmarkStart w:id="23" w:name="_Toc322435833"/>
      <w:r>
        <w:rPr>
          <w:rFonts w:hint="eastAsia" w:cs="宋体"/>
          <w:b/>
          <w:sz w:val="28"/>
          <w:szCs w:val="28"/>
        </w:rPr>
        <w:t>附件二</w:t>
      </w:r>
      <w:r>
        <w:rPr>
          <w:rFonts w:hint="eastAsia" w:cs="宋体"/>
          <w:sz w:val="28"/>
          <w:szCs w:val="28"/>
        </w:rPr>
        <w:t>：</w:t>
      </w:r>
      <w:bookmarkEnd w:id="17"/>
      <w:bookmarkEnd w:id="18"/>
      <w:bookmarkEnd w:id="19"/>
      <w:bookmarkEnd w:id="20"/>
      <w:bookmarkEnd w:id="21"/>
      <w:bookmarkEnd w:id="22"/>
      <w:bookmarkEnd w:id="23"/>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24" w:name="_Toc18209_WPSOffice_Level1"/>
      <w:r>
        <w:rPr>
          <w:rFonts w:hint="eastAsia" w:ascii="宋体" w:hAnsi="宋体" w:cs="宋体"/>
          <w:b/>
          <w:sz w:val="28"/>
          <w:szCs w:val="28"/>
        </w:rPr>
        <w:t>法定代表人资格证明书</w:t>
      </w:r>
      <w:bookmarkEnd w:id="24"/>
    </w:p>
    <w:tbl>
      <w:tblPr>
        <w:tblStyle w:val="22"/>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单位名称</w:t>
            </w:r>
          </w:p>
        </w:tc>
        <w:tc>
          <w:tcPr>
            <w:tcW w:w="6903" w:type="dxa"/>
            <w:gridSpan w:val="5"/>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注册地址</w:t>
            </w:r>
          </w:p>
        </w:tc>
        <w:tc>
          <w:tcPr>
            <w:tcW w:w="6903" w:type="dxa"/>
            <w:gridSpan w:val="5"/>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法人姓名</w:t>
            </w:r>
          </w:p>
        </w:tc>
        <w:tc>
          <w:tcPr>
            <w:tcW w:w="2229" w:type="dxa"/>
            <w:vAlign w:val="center"/>
          </w:tcPr>
          <w:p>
            <w:pPr>
              <w:spacing w:line="360" w:lineRule="auto"/>
              <w:jc w:val="center"/>
              <w:rPr>
                <w:rFonts w:ascii="宋体" w:hAnsi="宋体" w:cs="宋体"/>
                <w:sz w:val="24"/>
              </w:rPr>
            </w:pPr>
          </w:p>
        </w:tc>
        <w:tc>
          <w:tcPr>
            <w:tcW w:w="1189" w:type="dxa"/>
            <w:vAlign w:val="center"/>
          </w:tcPr>
          <w:p>
            <w:pPr>
              <w:spacing w:line="360" w:lineRule="auto"/>
              <w:jc w:val="center"/>
              <w:rPr>
                <w:rFonts w:ascii="宋体" w:hAnsi="宋体" w:cs="宋体"/>
                <w:sz w:val="24"/>
              </w:rPr>
            </w:pPr>
            <w:r>
              <w:rPr>
                <w:rFonts w:hint="eastAsia" w:ascii="宋体" w:hAnsi="宋体" w:cs="宋体"/>
                <w:sz w:val="24"/>
              </w:rPr>
              <w:t>性别</w:t>
            </w:r>
          </w:p>
        </w:tc>
        <w:tc>
          <w:tcPr>
            <w:tcW w:w="1232" w:type="dxa"/>
            <w:vAlign w:val="center"/>
          </w:tcPr>
          <w:p>
            <w:pPr>
              <w:spacing w:line="360" w:lineRule="auto"/>
              <w:jc w:val="center"/>
              <w:rPr>
                <w:rFonts w:ascii="宋体" w:hAnsi="宋体" w:cs="宋体"/>
                <w:sz w:val="24"/>
              </w:rPr>
            </w:pPr>
          </w:p>
        </w:tc>
        <w:tc>
          <w:tcPr>
            <w:tcW w:w="847" w:type="dxa"/>
            <w:vAlign w:val="center"/>
          </w:tcPr>
          <w:p>
            <w:pPr>
              <w:spacing w:line="360" w:lineRule="auto"/>
              <w:jc w:val="center"/>
              <w:rPr>
                <w:rFonts w:ascii="宋体" w:hAnsi="宋体" w:cs="宋体"/>
                <w:sz w:val="24"/>
              </w:rPr>
            </w:pPr>
            <w:r>
              <w:rPr>
                <w:rFonts w:hint="eastAsia" w:ascii="宋体" w:hAnsi="宋体" w:cs="宋体"/>
                <w:sz w:val="24"/>
              </w:rPr>
              <w:t>年龄</w:t>
            </w:r>
          </w:p>
        </w:tc>
        <w:tc>
          <w:tcPr>
            <w:tcW w:w="140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rPr>
            </w:pPr>
            <w:r>
              <w:rPr>
                <w:rFonts w:hint="eastAsia" w:ascii="宋体" w:hAnsi="宋体" w:cs="宋体"/>
                <w:sz w:val="24"/>
                <w:u w:val="single"/>
              </w:rPr>
              <w:t>（法人姓名）</w:t>
            </w:r>
            <w:r>
              <w:rPr>
                <w:rFonts w:hint="eastAsia" w:ascii="宋体" w:hAnsi="宋体" w:cs="宋体"/>
                <w:sz w:val="24"/>
              </w:rPr>
              <w:t>系</w:t>
            </w:r>
            <w:r>
              <w:rPr>
                <w:rFonts w:hint="eastAsia" w:ascii="宋体" w:hAnsi="宋体" w:cs="宋体"/>
                <w:sz w:val="24"/>
                <w:u w:val="single"/>
              </w:rPr>
              <w:t xml:space="preserve">   （单位名称）    </w:t>
            </w:r>
            <w:r>
              <w:rPr>
                <w:rFonts w:hint="eastAsia" w:ascii="宋体" w:hAnsi="宋体" w:cs="宋体"/>
                <w:sz w:val="24"/>
              </w:rPr>
              <w:t xml:space="preserve">的法定代表人。为实施 </w:t>
            </w:r>
            <w:r>
              <w:rPr>
                <w:rFonts w:hint="eastAsia" w:ascii="宋体" w:hAnsi="宋体" w:cs="宋体"/>
                <w:sz w:val="24"/>
                <w:u w:val="single"/>
              </w:rPr>
              <w:t xml:space="preserve">           项目（编号：      ）</w:t>
            </w:r>
            <w:r>
              <w:rPr>
                <w:rFonts w:hint="eastAsia" w:ascii="宋体" w:hAnsi="宋体" w:cs="宋体"/>
                <w:sz w:val="24"/>
              </w:rPr>
              <w:t>的工作，签署本项目的响应文件、进行合同谈判、签署合同和处理与之有关的一切事务。</w:t>
            </w:r>
          </w:p>
          <w:p>
            <w:pPr>
              <w:spacing w:line="360" w:lineRule="auto"/>
              <w:ind w:firstLine="480" w:firstLineChars="200"/>
              <w:rPr>
                <w:rFonts w:ascii="宋体" w:hAnsi="宋体" w:cs="宋体"/>
                <w:sz w:val="24"/>
              </w:rPr>
            </w:pPr>
            <w:r>
              <w:rPr>
                <w:rFonts w:hint="eastAsia" w:ascii="宋体" w:hAnsi="宋体" w:cs="宋体"/>
                <w:sz w:val="24"/>
              </w:rPr>
              <w:t>特此证明。</w:t>
            </w:r>
          </w:p>
        </w:tc>
      </w:tr>
    </w:tbl>
    <w:p>
      <w:pPr>
        <w:spacing w:line="360" w:lineRule="auto"/>
        <w:rPr>
          <w:rFonts w:ascii="宋体" w:hAnsi="宋体" w:cs="宋体"/>
          <w:szCs w:val="21"/>
        </w:rPr>
      </w:pPr>
    </w:p>
    <w:p>
      <w:pPr>
        <w:spacing w:line="360" w:lineRule="auto"/>
        <w:rPr>
          <w:rFonts w:ascii="宋体" w:hAnsi="宋体" w:cs="宋体"/>
          <w:sz w:val="24"/>
        </w:rPr>
      </w:pPr>
      <w:r>
        <w:rPr>
          <w:rFonts w:hint="eastAsia" w:ascii="宋体" w:hAnsi="宋体" w:cs="宋体"/>
          <w:szCs w:val="21"/>
        </w:rPr>
        <w:t>                </w:t>
      </w:r>
      <w:r>
        <w:rPr>
          <w:rFonts w:hint="eastAsia" w:ascii="宋体" w:hAnsi="宋体" w:cs="宋体"/>
          <w:sz w:val="24"/>
        </w:rPr>
        <w:t> 投标单位：（公章）</w:t>
      </w:r>
    </w:p>
    <w:p>
      <w:pPr>
        <w:spacing w:line="360" w:lineRule="auto"/>
        <w:rPr>
          <w:rFonts w:ascii="宋体" w:hAnsi="宋体" w:cs="宋体"/>
          <w:sz w:val="24"/>
        </w:rPr>
      </w:pPr>
      <w:r>
        <w:rPr>
          <w:rFonts w:hint="eastAsia" w:ascii="宋体" w:hAnsi="宋体" w:cs="宋体"/>
          <w:sz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61312"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1312;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9"/>
        <w:spacing w:line="360" w:lineRule="exact"/>
        <w:jc w:val="center"/>
        <w:rPr>
          <w:rFonts w:cs="宋体"/>
          <w:b/>
          <w:sz w:val="32"/>
        </w:rPr>
      </w:pPr>
      <w:r>
        <w:rPr>
          <w:rFonts w:hint="eastAsia" w:cs="宋体"/>
          <w:b/>
          <w:sz w:val="32"/>
        </w:rPr>
        <w:t>授权委托书</w:t>
      </w:r>
    </w:p>
    <w:p>
      <w:pPr>
        <w:pStyle w:val="18"/>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2336;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4"/>
        <w:spacing w:line="520" w:lineRule="exact"/>
        <w:rPr>
          <w:rFonts w:ascii="宋体" w:cs="宋体"/>
          <w:sz w:val="28"/>
          <w:szCs w:val="28"/>
        </w:rPr>
      </w:pPr>
      <w:bookmarkStart w:id="25" w:name="_Toc322436239"/>
      <w:bookmarkStart w:id="26" w:name="_Toc322435834"/>
      <w:bookmarkStart w:id="27" w:name="_Toc331061672"/>
      <w:bookmarkStart w:id="28" w:name="_Toc322436004"/>
      <w:bookmarkStart w:id="29" w:name="_Toc331056451"/>
      <w:bookmarkStart w:id="30" w:name="_Toc330998563"/>
      <w:bookmarkStart w:id="31" w:name="_Toc322436059"/>
      <w:r>
        <w:rPr>
          <w:rFonts w:hint="eastAsia" w:ascii="宋体" w:hAnsi="宋体" w:cs="宋体"/>
          <w:sz w:val="28"/>
          <w:szCs w:val="28"/>
        </w:rPr>
        <w:t>附件三：开标一览表</w:t>
      </w:r>
      <w:bookmarkEnd w:id="25"/>
      <w:bookmarkEnd w:id="26"/>
      <w:bookmarkEnd w:id="27"/>
      <w:bookmarkEnd w:id="28"/>
      <w:bookmarkEnd w:id="29"/>
      <w:bookmarkEnd w:id="30"/>
      <w:bookmarkEnd w:id="31"/>
      <w:r>
        <w:rPr>
          <w:rFonts w:hint="eastAsia" w:ascii="宋体" w:hAnsi="宋体" w:cs="宋体"/>
          <w:sz w:val="28"/>
          <w:szCs w:val="28"/>
        </w:rPr>
        <w:t>、分项报价表</w:t>
      </w:r>
    </w:p>
    <w:p>
      <w:pPr>
        <w:spacing w:line="520" w:lineRule="exact"/>
        <w:ind w:firstLine="602" w:firstLineChars="200"/>
        <w:jc w:val="center"/>
        <w:rPr>
          <w:rFonts w:ascii="宋体" w:cs="宋体"/>
          <w:b/>
          <w:bCs/>
          <w:sz w:val="30"/>
          <w:szCs w:val="30"/>
        </w:rPr>
      </w:pPr>
      <w:r>
        <w:rPr>
          <w:rFonts w:hint="eastAsia" w:ascii="宋体" w:hAnsi="宋体" w:cs="宋体"/>
          <w:b/>
          <w:bCs/>
          <w:sz w:val="30"/>
          <w:szCs w:val="30"/>
        </w:rPr>
        <w:t>开标一览表</w:t>
      </w:r>
    </w:p>
    <w:p>
      <w:pPr>
        <w:spacing w:line="520" w:lineRule="exact"/>
        <w:ind w:firstLine="420" w:firstLineChars="200"/>
        <w:rPr>
          <w:rFonts w:ascii="宋体" w:hAnsi="宋体" w:cs="宋体"/>
          <w:szCs w:val="21"/>
        </w:rPr>
      </w:pPr>
      <w:r>
        <w:rPr>
          <w:rFonts w:hint="eastAsia" w:ascii="宋体" w:hAnsi="宋体" w:cs="宋体"/>
          <w:szCs w:val="21"/>
        </w:rPr>
        <w:t xml:space="preserve"> </w:t>
      </w:r>
    </w:p>
    <w:p>
      <w:pPr>
        <w:pStyle w:val="4"/>
        <w:rPr>
          <w:rFonts w:ascii="宋体" w:hAnsi="宋体" w:cs="宋体"/>
          <w:b w:val="0"/>
          <w:bCs w:val="0"/>
          <w:sz w:val="21"/>
          <w:szCs w:val="21"/>
        </w:rPr>
      </w:pPr>
      <w:r>
        <w:rPr>
          <w:rFonts w:hint="eastAsia" w:ascii="宋体" w:hAnsi="宋体" w:cs="宋体"/>
          <w:b w:val="0"/>
          <w:bCs w:val="0"/>
          <w:sz w:val="21"/>
          <w:szCs w:val="21"/>
        </w:rPr>
        <w:t xml:space="preserve">供应商名称（盖章）:  </w:t>
      </w:r>
    </w:p>
    <w:tbl>
      <w:tblPr>
        <w:tblStyle w:val="22"/>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4161"/>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1820" w:type="dxa"/>
            <w:vAlign w:val="center"/>
          </w:tcPr>
          <w:p>
            <w:pPr>
              <w:snapToGrid w:val="0"/>
              <w:spacing w:line="360" w:lineRule="auto"/>
              <w:jc w:val="center"/>
              <w:rPr>
                <w:rFonts w:ascii="宋体" w:hAnsi="宋体" w:cs="宋体"/>
              </w:rPr>
            </w:pPr>
            <w:r>
              <w:rPr>
                <w:rFonts w:hint="eastAsia" w:ascii="宋体" w:hAnsi="宋体" w:cs="宋体"/>
              </w:rPr>
              <w:t>采购项目名称</w:t>
            </w:r>
          </w:p>
        </w:tc>
        <w:tc>
          <w:tcPr>
            <w:tcW w:w="6799" w:type="dxa"/>
            <w:gridSpan w:val="2"/>
            <w:vAlign w:val="center"/>
          </w:tcPr>
          <w:p>
            <w:pPr>
              <w:snapToGrid w:val="0"/>
              <w:spacing w:line="360" w:lineRule="auto"/>
              <w:jc w:val="center"/>
              <w:rPr>
                <w:rFonts w:ascii="宋体" w:hAnsi="宋体" w:cs="宋体"/>
              </w:rPr>
            </w:pPr>
            <w:r>
              <w:rPr>
                <w:rFonts w:hint="eastAsia" w:ascii="宋体" w:hAnsi="宋体"/>
                <w:szCs w:val="21"/>
                <w:highlight w:val="yellow"/>
              </w:rPr>
              <w:t>常州市a地块北区地下水加密调查钻探服务项目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820" w:type="dxa"/>
            <w:tcBorders>
              <w:top w:val="single" w:color="auto" w:sz="4" w:space="0"/>
            </w:tcBorders>
            <w:vAlign w:val="center"/>
          </w:tcPr>
          <w:p>
            <w:pPr>
              <w:snapToGrid w:val="0"/>
              <w:spacing w:line="360" w:lineRule="auto"/>
              <w:jc w:val="center"/>
              <w:rPr>
                <w:rFonts w:ascii="宋体" w:hAnsi="宋体" w:cs="宋体"/>
              </w:rPr>
            </w:pPr>
            <w:r>
              <w:rPr>
                <w:rFonts w:hint="eastAsia" w:ascii="宋体" w:hAnsi="宋体" w:cs="宋体"/>
              </w:rPr>
              <w:t>投标报价（含税）</w:t>
            </w:r>
          </w:p>
        </w:tc>
        <w:tc>
          <w:tcPr>
            <w:tcW w:w="4161" w:type="dxa"/>
            <w:vAlign w:val="center"/>
          </w:tcPr>
          <w:p>
            <w:pPr>
              <w:snapToGrid w:val="0"/>
              <w:spacing w:line="360" w:lineRule="auto"/>
              <w:jc w:val="center"/>
              <w:rPr>
                <w:rFonts w:ascii="宋体" w:hAnsi="宋体" w:cs="宋体"/>
                <w:szCs w:val="21"/>
              </w:rPr>
            </w:pPr>
            <w:r>
              <w:rPr>
                <w:rFonts w:hint="eastAsia" w:ascii="宋体" w:hAnsi="宋体" w:cs="宋体"/>
                <w:szCs w:val="21"/>
              </w:rPr>
              <w:t>大写：</w:t>
            </w:r>
            <w:r>
              <w:rPr>
                <w:rFonts w:hint="eastAsia" w:ascii="宋体" w:hAnsi="宋体" w:cs="宋体"/>
                <w:szCs w:val="21"/>
                <w:u w:val="single"/>
              </w:rPr>
              <w:t xml:space="preserve">                      </w:t>
            </w:r>
            <w:r>
              <w:rPr>
                <w:rFonts w:hint="eastAsia" w:ascii="宋体" w:hAnsi="宋体" w:cs="宋体"/>
                <w:szCs w:val="21"/>
              </w:rPr>
              <w:t>元</w:t>
            </w:r>
          </w:p>
        </w:tc>
        <w:tc>
          <w:tcPr>
            <w:tcW w:w="2638" w:type="dxa"/>
            <w:vAlign w:val="center"/>
          </w:tcPr>
          <w:p>
            <w:pPr>
              <w:snapToGrid w:val="0"/>
              <w:spacing w:line="360" w:lineRule="auto"/>
              <w:jc w:val="center"/>
              <w:rPr>
                <w:rFonts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820" w:type="dxa"/>
            <w:vAlign w:val="center"/>
          </w:tcPr>
          <w:p>
            <w:pPr>
              <w:snapToGrid w:val="0"/>
              <w:spacing w:line="360" w:lineRule="auto"/>
              <w:jc w:val="center"/>
              <w:rPr>
                <w:rFonts w:ascii="宋体" w:hAnsi="宋体" w:cs="宋体"/>
              </w:rPr>
            </w:pPr>
            <w:r>
              <w:rPr>
                <w:rFonts w:hint="eastAsia" w:ascii="宋体" w:hAnsi="宋体" w:cs="宋体"/>
              </w:rPr>
              <w:t>税率</w:t>
            </w:r>
          </w:p>
        </w:tc>
        <w:tc>
          <w:tcPr>
            <w:tcW w:w="6799" w:type="dxa"/>
            <w:gridSpan w:val="2"/>
            <w:vAlign w:val="center"/>
          </w:tcPr>
          <w:p>
            <w:pPr>
              <w:snapToGrid w:val="0"/>
              <w:spacing w:line="360" w:lineRule="auto"/>
              <w:jc w:val="center"/>
              <w:rPr>
                <w:rFonts w:ascii="宋体" w:hAnsi="宋体" w:cs="宋体"/>
              </w:rPr>
            </w:pPr>
          </w:p>
        </w:tc>
      </w:tr>
    </w:tbl>
    <w:p>
      <w:pPr>
        <w:pStyle w:val="36"/>
        <w:rPr>
          <w:rFonts w:ascii="宋体" w:hAnsi="宋体" w:cs="宋体"/>
          <w:szCs w:val="21"/>
        </w:rPr>
      </w:pPr>
    </w:p>
    <w:p>
      <w:pPr>
        <w:pStyle w:val="36"/>
        <w:rPr>
          <w:rFonts w:ascii="宋体" w:hAnsi="宋体" w:cs="宋体"/>
          <w:szCs w:val="21"/>
        </w:rPr>
      </w:pPr>
    </w:p>
    <w:p>
      <w:pPr>
        <w:pStyle w:val="36"/>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pStyle w:val="36"/>
        <w:rPr>
          <w:rFonts w:ascii="宋体" w:hAnsi="宋体" w:cs="宋体"/>
          <w:szCs w:val="21"/>
        </w:rPr>
      </w:pPr>
    </w:p>
    <w:p>
      <w:pPr>
        <w:pStyle w:val="5"/>
        <w:overflowPunct w:val="0"/>
        <w:spacing w:line="500" w:lineRule="exact"/>
        <w:rPr>
          <w:rFonts w:hAnsi="宋体" w:cs="宋体"/>
          <w:sz w:val="21"/>
          <w:szCs w:val="21"/>
        </w:rPr>
      </w:pPr>
      <w:r>
        <w:rPr>
          <w:rFonts w:hint="eastAsia" w:hAnsi="宋体" w:cs="宋体"/>
          <w:sz w:val="21"/>
          <w:szCs w:val="21"/>
        </w:rPr>
        <w:t>年</w:t>
      </w:r>
      <w:r>
        <w:rPr>
          <w:rFonts w:hint="eastAsia" w:hAnsi="宋体" w:cs="宋体"/>
          <w:sz w:val="21"/>
          <w:szCs w:val="21"/>
        </w:rPr>
        <w:tab/>
      </w:r>
      <w:r>
        <w:rPr>
          <w:rFonts w:hint="eastAsia" w:hAnsi="宋体" w:cs="宋体"/>
          <w:sz w:val="21"/>
          <w:szCs w:val="21"/>
        </w:rPr>
        <w:t xml:space="preserve"> 月 </w:t>
      </w:r>
      <w:r>
        <w:rPr>
          <w:rFonts w:hint="eastAsia" w:hAnsi="宋体" w:cs="宋体"/>
          <w:sz w:val="21"/>
          <w:szCs w:val="21"/>
        </w:rPr>
        <w:tab/>
      </w:r>
      <w:r>
        <w:rPr>
          <w:rFonts w:hint="eastAsia" w:hAnsi="宋体" w:cs="宋体"/>
          <w:sz w:val="21"/>
          <w:szCs w:val="21"/>
        </w:rPr>
        <w:t>日</w:t>
      </w:r>
    </w:p>
    <w:p>
      <w:pPr>
        <w:spacing w:line="520" w:lineRule="exact"/>
        <w:ind w:firstLine="420" w:firstLineChars="200"/>
        <w:jc w:val="left"/>
        <w:rPr>
          <w:rFonts w:ascii="宋体" w:cs="宋体"/>
          <w:szCs w:val="21"/>
        </w:rPr>
      </w:pPr>
      <w:r>
        <w:rPr>
          <w:rFonts w:ascii="宋体" w:hAnsi="宋体" w:cs="宋体"/>
          <w:szCs w:val="21"/>
        </w:rPr>
        <w:t xml:space="preserve">                                                  </w:t>
      </w:r>
    </w:p>
    <w:p>
      <w:pPr>
        <w:spacing w:line="440" w:lineRule="exact"/>
        <w:ind w:firstLine="420" w:firstLineChars="200"/>
        <w:rPr>
          <w:rFonts w:ascii="宋体" w:cs="宋体"/>
          <w:szCs w:val="21"/>
        </w:rPr>
      </w:pPr>
    </w:p>
    <w:p>
      <w:pPr>
        <w:spacing w:line="360" w:lineRule="auto"/>
        <w:rPr>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spacing w:line="520" w:lineRule="exact"/>
        <w:ind w:firstLine="602" w:firstLineChars="200"/>
        <w:jc w:val="center"/>
        <w:rPr>
          <w:rFonts w:ascii="宋体" w:hAnsi="宋体" w:cs="宋体"/>
          <w:b/>
          <w:bCs/>
          <w:sz w:val="30"/>
          <w:szCs w:val="30"/>
        </w:rPr>
      </w:pPr>
    </w:p>
    <w:p>
      <w:pPr>
        <w:spacing w:line="520" w:lineRule="exact"/>
        <w:ind w:firstLine="602" w:firstLineChars="200"/>
        <w:jc w:val="center"/>
        <w:rPr>
          <w:rFonts w:ascii="宋体" w:hAnsi="宋体" w:cs="宋体"/>
          <w:b/>
          <w:bCs/>
          <w:sz w:val="30"/>
          <w:szCs w:val="30"/>
        </w:rPr>
      </w:pPr>
    </w:p>
    <w:p>
      <w:pPr>
        <w:spacing w:line="520" w:lineRule="exact"/>
        <w:ind w:firstLine="602" w:firstLineChars="200"/>
        <w:jc w:val="center"/>
        <w:rPr>
          <w:rFonts w:ascii="宋体" w:hAnsi="宋体" w:cs="宋体"/>
          <w:b/>
          <w:bCs/>
          <w:sz w:val="30"/>
          <w:szCs w:val="30"/>
        </w:rPr>
      </w:pPr>
      <w:r>
        <w:rPr>
          <w:rFonts w:hint="eastAsia" w:ascii="宋体" w:hAnsi="宋体" w:cs="宋体"/>
          <w:b/>
          <w:bCs/>
          <w:sz w:val="30"/>
          <w:szCs w:val="30"/>
        </w:rPr>
        <w:t>分项报价表</w:t>
      </w:r>
    </w:p>
    <w:p>
      <w:pPr>
        <w:pStyle w:val="5"/>
        <w:overflowPunct w:val="0"/>
        <w:spacing w:line="500" w:lineRule="exact"/>
        <w:ind w:firstLine="0"/>
        <w:rPr>
          <w:rFonts w:hAnsi="宋体"/>
          <w:sz w:val="21"/>
          <w:szCs w:val="21"/>
        </w:rPr>
      </w:pPr>
    </w:p>
    <w:p>
      <w:pPr>
        <w:pStyle w:val="4"/>
        <w:rPr>
          <w:rFonts w:hAnsi="宋体" w:cs="宋体"/>
          <w:color w:val="000000"/>
        </w:rPr>
      </w:pPr>
      <w:bookmarkStart w:id="32" w:name="_Toc322436061"/>
      <w:bookmarkStart w:id="33" w:name="_Toc330998565"/>
      <w:bookmarkStart w:id="34" w:name="_Toc322436006"/>
      <w:bookmarkStart w:id="35" w:name="_Toc331061674"/>
      <w:bookmarkStart w:id="36" w:name="_Toc322436241"/>
      <w:bookmarkStart w:id="37" w:name="_Toc322435836"/>
      <w:bookmarkStart w:id="38" w:name="_Toc331056453"/>
      <w:r>
        <w:rPr>
          <w:rFonts w:hint="eastAsia" w:ascii="宋体" w:hAnsi="宋体" w:cs="宋体"/>
          <w:b w:val="0"/>
          <w:bCs w:val="0"/>
          <w:sz w:val="21"/>
          <w:szCs w:val="21"/>
        </w:rPr>
        <w:t xml:space="preserve">供应商名称（盖章）:  </w:t>
      </w:r>
    </w:p>
    <w:tbl>
      <w:tblPr>
        <w:tblStyle w:val="22"/>
        <w:tblW w:w="53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70"/>
        <w:gridCol w:w="641"/>
        <w:gridCol w:w="615"/>
        <w:gridCol w:w="1336"/>
        <w:gridCol w:w="1422"/>
        <w:gridCol w:w="1107"/>
        <w:gridCol w:w="2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0" w:type="pct"/>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638" w:type="pct"/>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项目</w:t>
            </w:r>
          </w:p>
        </w:tc>
        <w:tc>
          <w:tcPr>
            <w:tcW w:w="322" w:type="pct"/>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c>
          <w:tcPr>
            <w:tcW w:w="309" w:type="pct"/>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单位</w:t>
            </w:r>
          </w:p>
        </w:tc>
        <w:tc>
          <w:tcPr>
            <w:tcW w:w="671" w:type="pct"/>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单价限值（元）</w:t>
            </w:r>
          </w:p>
        </w:tc>
        <w:tc>
          <w:tcPr>
            <w:tcW w:w="714" w:type="pct"/>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单价报价（元）</w:t>
            </w:r>
          </w:p>
        </w:tc>
        <w:tc>
          <w:tcPr>
            <w:tcW w:w="556" w:type="pct"/>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合价（元）</w:t>
            </w:r>
          </w:p>
        </w:tc>
        <w:tc>
          <w:tcPr>
            <w:tcW w:w="1430" w:type="pct"/>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4640" w:type="pct"/>
            <w:gridSpan w:val="7"/>
            <w:shd w:val="clear" w:color="000000" w:fill="FFFFFF"/>
            <w:vAlign w:val="center"/>
          </w:tcPr>
          <w:p>
            <w:pPr>
              <w:pStyle w:val="15"/>
              <w:jc w:val="left"/>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直推式土壤取样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直推式土壤取样</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元/米</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挖机使用</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台班</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1500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挖机使用费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4640" w:type="pct"/>
            <w:gridSpan w:val="7"/>
            <w:shd w:val="clear" w:color="000000" w:fill="FFFFFF"/>
            <w:vAlign w:val="center"/>
          </w:tcPr>
          <w:p>
            <w:pPr>
              <w:pStyle w:val="15"/>
              <w:jc w:val="left"/>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地下水监测井建设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钻井</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352</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元/米</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成孔口径200mm，UPVC管口径为63mm，壁厚3mm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洗井</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元/个</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含贝勒管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井台</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28</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元/个</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混凝土基础：C20商品砼；尺寸100cm*100cm*50cm，含模板及四周护栏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标识、密码锁</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28</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元/个</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井盖（φ160mm，铸铁）；材质铸铁，内径160mm，厚2mm，含盖板、密码锁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4640" w:type="pct"/>
            <w:gridSpan w:val="7"/>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设备进出场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设备运费</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widowControl/>
              <w:ind w:firstLine="480"/>
              <w:jc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2台GP钻机进场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挖机进出场</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1400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widowControl/>
              <w:ind w:firstLine="480"/>
              <w:jc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2台挖机（1m</w:t>
            </w:r>
            <w:r>
              <w:rPr>
                <w:rFonts w:hint="eastAsia" w:asciiTheme="minorEastAsia" w:hAnsiTheme="minorEastAsia" w:eastAsiaTheme="minorEastAsia" w:cstheme="minorEastAsia"/>
                <w:color w:val="000000"/>
                <w:kern w:val="0"/>
                <w:szCs w:val="21"/>
                <w:vertAlign w:val="superscript"/>
              </w:rPr>
              <w:t>3</w:t>
            </w:r>
            <w:r>
              <w:rPr>
                <w:rFonts w:hint="eastAsia" w:asciiTheme="minorEastAsia" w:hAnsiTheme="minorEastAsia" w:eastAsiaTheme="minorEastAsia" w:cs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4640" w:type="pct"/>
            <w:gridSpan w:val="7"/>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人员费用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人工及差旅费</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1台钻机配套1个班组，每个班组4人，费用含在钻探费中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4640" w:type="pct"/>
            <w:gridSpan w:val="7"/>
            <w:shd w:val="clear" w:color="000000" w:fill="FFFFFF"/>
            <w:vAlign w:val="center"/>
          </w:tcPr>
          <w:p>
            <w:pPr>
              <w:pStyle w:val="15"/>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RTK测量</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提供且不收费，大地2000坐标，需现场放点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5.2</w:t>
            </w: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二次污染防治</w:t>
            </w:r>
          </w:p>
        </w:tc>
        <w:tc>
          <w:tcPr>
            <w:tcW w:w="322"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309"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w:t>
            </w:r>
          </w:p>
        </w:tc>
        <w:tc>
          <w:tcPr>
            <w:tcW w:w="671" w:type="pct"/>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714" w:type="pct"/>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提供且不收费，包括不限于运输过程中使用的吨袋、收集桶及处置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shd w:val="clear" w:color="000000" w:fill="FFFFFF"/>
            <w:vAlign w:val="center"/>
          </w:tcPr>
          <w:p>
            <w:pPr>
              <w:pStyle w:val="15"/>
              <w:rPr>
                <w:rFonts w:asciiTheme="minorEastAsia" w:hAnsiTheme="minorEastAsia" w:eastAsiaTheme="minorEastAsia" w:cstheme="minorEastAsia"/>
                <w:sz w:val="21"/>
                <w:szCs w:val="21"/>
              </w:rPr>
            </w:pPr>
          </w:p>
        </w:tc>
        <w:tc>
          <w:tcPr>
            <w:tcW w:w="638" w:type="pct"/>
            <w:shd w:val="clear" w:color="000000" w:fill="FFFFFF"/>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2015" w:type="pct"/>
            <w:gridSpan w:val="4"/>
            <w:shd w:val="clear" w:color="000000" w:fill="FFFFFF"/>
            <w:vAlign w:val="center"/>
          </w:tcPr>
          <w:p>
            <w:pPr>
              <w:pStyle w:val="15"/>
              <w:rPr>
                <w:rFonts w:asciiTheme="minorEastAsia" w:hAnsiTheme="minorEastAsia" w:eastAsiaTheme="minorEastAsia" w:cstheme="minorEastAsia"/>
                <w:sz w:val="21"/>
                <w:szCs w:val="21"/>
              </w:rPr>
            </w:pPr>
          </w:p>
        </w:tc>
        <w:tc>
          <w:tcPr>
            <w:tcW w:w="556" w:type="pct"/>
            <w:shd w:val="clear" w:color="auto" w:fill="auto"/>
            <w:vAlign w:val="center"/>
          </w:tcPr>
          <w:p>
            <w:pPr>
              <w:pStyle w:val="15"/>
              <w:rPr>
                <w:rFonts w:asciiTheme="minorEastAsia" w:hAnsiTheme="minorEastAsia" w:eastAsiaTheme="minorEastAsia" w:cstheme="minorEastAsia"/>
                <w:sz w:val="21"/>
                <w:szCs w:val="21"/>
              </w:rPr>
            </w:pPr>
          </w:p>
        </w:tc>
        <w:tc>
          <w:tcPr>
            <w:tcW w:w="1430" w:type="pct"/>
            <w:shd w:val="clear" w:color="auto" w:fill="auto"/>
            <w:vAlign w:val="center"/>
          </w:tcPr>
          <w:p>
            <w:pPr>
              <w:pStyle w:val="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bl>
    <w:p>
      <w:pPr>
        <w:ind w:firstLine="560"/>
        <w:rPr>
          <w:rFonts w:ascii="宋体" w:hAnsi="宋体" w:cs="宋体"/>
          <w:szCs w:val="21"/>
        </w:rPr>
      </w:pPr>
    </w:p>
    <w:p>
      <w:pPr>
        <w:ind w:firstLine="560"/>
        <w:rPr>
          <w:b/>
          <w:bCs/>
        </w:rPr>
      </w:pPr>
      <w:r>
        <w:rPr>
          <w:rFonts w:hint="eastAsia" w:ascii="宋体" w:hAnsi="宋体" w:cs="宋体"/>
          <w:b/>
          <w:bCs/>
          <w:szCs w:val="21"/>
        </w:rPr>
        <w:t>注：</w:t>
      </w:r>
      <w:r>
        <w:rPr>
          <w:rFonts w:hint="eastAsia"/>
          <w:b/>
          <w:bCs/>
        </w:rPr>
        <w:t>每项工作单价不能超过单价限值，报价货币为人民币，评标时以人民币为准。</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pStyle w:val="36"/>
        <w:rPr>
          <w:rFonts w:ascii="宋体" w:hAnsi="宋体" w:cs="宋体"/>
          <w:szCs w:val="21"/>
        </w:rPr>
      </w:pPr>
    </w:p>
    <w:p>
      <w:pPr>
        <w:pStyle w:val="5"/>
        <w:overflowPunct w:val="0"/>
        <w:spacing w:line="500" w:lineRule="exact"/>
        <w:rPr>
          <w:rFonts w:hAnsi="宋体" w:cs="宋体"/>
          <w:sz w:val="21"/>
          <w:szCs w:val="21"/>
        </w:rPr>
      </w:pPr>
      <w:r>
        <w:rPr>
          <w:rFonts w:hint="eastAsia" w:hAnsi="宋体" w:cs="宋体"/>
          <w:sz w:val="21"/>
          <w:szCs w:val="21"/>
        </w:rPr>
        <w:t>年</w:t>
      </w:r>
      <w:r>
        <w:rPr>
          <w:rFonts w:hint="eastAsia" w:hAnsi="宋体" w:cs="宋体"/>
          <w:sz w:val="21"/>
          <w:szCs w:val="21"/>
        </w:rPr>
        <w:tab/>
      </w:r>
      <w:r>
        <w:rPr>
          <w:rFonts w:hint="eastAsia" w:hAnsi="宋体" w:cs="宋体"/>
          <w:sz w:val="21"/>
          <w:szCs w:val="21"/>
        </w:rPr>
        <w:t xml:space="preserve"> 月 </w:t>
      </w:r>
      <w:r>
        <w:rPr>
          <w:rFonts w:hint="eastAsia" w:hAnsi="宋体" w:cs="宋体"/>
          <w:sz w:val="21"/>
          <w:szCs w:val="21"/>
        </w:rPr>
        <w:tab/>
      </w:r>
      <w:r>
        <w:rPr>
          <w:rFonts w:hint="eastAsia" w:hAnsi="宋体" w:cs="宋体"/>
          <w:sz w:val="21"/>
          <w:szCs w:val="21"/>
        </w:rPr>
        <w:t>日</w:t>
      </w:r>
    </w:p>
    <w:p>
      <w:pPr>
        <w:sectPr>
          <w:headerReference r:id="rId3" w:type="default"/>
          <w:footerReference r:id="rId4" w:type="default"/>
          <w:pgSz w:w="11906" w:h="16838"/>
          <w:pgMar w:top="1440" w:right="1440" w:bottom="1440" w:left="1440" w:header="851" w:footer="992" w:gutter="0"/>
          <w:cols w:space="0" w:num="1"/>
          <w:docGrid w:linePitch="326" w:charSpace="0"/>
        </w:sectPr>
      </w:pPr>
    </w:p>
    <w:p>
      <w:pPr>
        <w:pStyle w:val="5"/>
        <w:overflowPunct w:val="0"/>
        <w:spacing w:line="500" w:lineRule="exact"/>
        <w:ind w:firstLine="0"/>
        <w:rPr>
          <w:rFonts w:hAnsi="宋体" w:cs="宋体"/>
          <w:b/>
          <w:color w:val="000000"/>
          <w:sz w:val="32"/>
          <w:szCs w:val="32"/>
        </w:rPr>
      </w:pPr>
      <w:r>
        <w:rPr>
          <w:rFonts w:hint="eastAsia" w:hAnsi="宋体" w:cs="宋体"/>
          <w:b/>
          <w:color w:val="000000"/>
          <w:sz w:val="32"/>
          <w:szCs w:val="32"/>
        </w:rPr>
        <w:t>附件四：承诺函</w:t>
      </w:r>
    </w:p>
    <w:p>
      <w:pPr>
        <w:pStyle w:val="5"/>
        <w:overflowPunct w:val="0"/>
        <w:spacing w:line="500" w:lineRule="exact"/>
        <w:jc w:val="center"/>
        <w:rPr>
          <w:rFonts w:hAnsi="宋体" w:cs="宋体"/>
          <w:b/>
          <w:color w:val="000000"/>
          <w:sz w:val="32"/>
          <w:szCs w:val="32"/>
        </w:rPr>
      </w:pPr>
      <w:r>
        <w:rPr>
          <w:rFonts w:hint="eastAsia" w:hAnsi="宋体" w:cs="宋体"/>
          <w:b/>
          <w:color w:val="000000"/>
          <w:sz w:val="32"/>
          <w:szCs w:val="32"/>
        </w:rPr>
        <w:t>承 诺 函</w:t>
      </w:r>
    </w:p>
    <w:p>
      <w:pPr>
        <w:pStyle w:val="5"/>
        <w:overflowPunct w:val="0"/>
        <w:spacing w:line="500" w:lineRule="exact"/>
        <w:jc w:val="center"/>
        <w:rPr>
          <w:rFonts w:hAnsi="宋体" w:cs="宋体"/>
          <w:color w:val="000000"/>
        </w:rPr>
      </w:pPr>
    </w:p>
    <w:p>
      <w:pPr>
        <w:pStyle w:val="5"/>
        <w:overflowPunct w:val="0"/>
        <w:spacing w:line="500" w:lineRule="exact"/>
        <w:ind w:firstLine="0"/>
        <w:rPr>
          <w:rFonts w:hAnsi="宋体" w:cs="宋体"/>
          <w:color w:val="000000"/>
        </w:rPr>
      </w:pPr>
      <w:r>
        <w:rPr>
          <w:rFonts w:hint="eastAsia" w:hAnsi="宋体" w:cs="宋体"/>
          <w:color w:val="000000"/>
        </w:rPr>
        <w:t xml:space="preserve"> </w:t>
      </w:r>
      <w:r>
        <w:rPr>
          <w:rFonts w:hint="eastAsia" w:hAnsi="宋体" w:cs="宋体"/>
          <w:color w:val="000000"/>
          <w:u w:val="single"/>
        </w:rPr>
        <w:t xml:space="preserve"> 常州市恒卓建设工程管理咨询有限公司 </w:t>
      </w:r>
      <w:r>
        <w:rPr>
          <w:rFonts w:hint="eastAsia" w:hAnsi="宋体" w:cs="宋体"/>
          <w:color w:val="000000"/>
        </w:rPr>
        <w:t>：</w:t>
      </w:r>
    </w:p>
    <w:p>
      <w:pPr>
        <w:pStyle w:val="5"/>
        <w:overflowPunct w:val="0"/>
        <w:spacing w:line="500" w:lineRule="exact"/>
        <w:ind w:firstLine="660"/>
        <w:rPr>
          <w:rFonts w:hAnsi="宋体" w:cs="宋体"/>
          <w:color w:val="000000"/>
        </w:rPr>
      </w:pPr>
    </w:p>
    <w:p>
      <w:pPr>
        <w:pStyle w:val="5"/>
        <w:overflowPunct w:val="0"/>
        <w:spacing w:line="500" w:lineRule="exact"/>
        <w:ind w:firstLine="660"/>
        <w:rPr>
          <w:rFonts w:hAnsi="宋体" w:cs="宋体"/>
        </w:rPr>
      </w:pPr>
      <w:r>
        <w:rPr>
          <w:rFonts w:hint="eastAsia" w:hAnsi="宋体" w:cs="宋体"/>
        </w:rPr>
        <w:t>本公司愿意参加贵公司组织实施的编号为</w:t>
      </w:r>
      <w:r>
        <w:rPr>
          <w:rFonts w:hint="eastAsia" w:hAnsi="宋体" w:cs="宋体"/>
          <w:u w:val="single"/>
        </w:rPr>
        <w:t xml:space="preserve">          </w:t>
      </w:r>
      <w:r>
        <w:rPr>
          <w:rFonts w:hint="eastAsia" w:hAnsi="宋体" w:cs="宋体"/>
        </w:rPr>
        <w:t>号的招标活动。本公司承诺：</w:t>
      </w:r>
    </w:p>
    <w:p>
      <w:pPr>
        <w:pStyle w:val="5"/>
        <w:overflowPunct w:val="0"/>
        <w:spacing w:line="500" w:lineRule="exact"/>
        <w:ind w:firstLine="480" w:firstLineChars="200"/>
        <w:rPr>
          <w:rFonts w:hAnsi="宋体" w:cs="宋体"/>
        </w:rPr>
      </w:pPr>
      <w:r>
        <w:rPr>
          <w:rFonts w:hint="eastAsia" w:hAnsi="宋体" w:cs="宋体"/>
        </w:rPr>
        <w:t>1. 本公司依法缴纳税收和社会保障资金；</w:t>
      </w:r>
    </w:p>
    <w:p>
      <w:pPr>
        <w:spacing w:line="360" w:lineRule="auto"/>
        <w:ind w:firstLine="480" w:firstLineChars="200"/>
        <w:rPr>
          <w:rFonts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ascii="宋体" w:hAnsi="宋体" w:cs="宋体"/>
          <w:sz w:val="24"/>
        </w:rPr>
      </w:pPr>
      <w:r>
        <w:rPr>
          <w:rFonts w:hint="eastAsia" w:ascii="宋体" w:hAnsi="宋体" w:cs="宋体"/>
          <w:sz w:val="24"/>
        </w:rPr>
        <w:t>若与真实情况不符，本公司愿意承担由此而产生的一切后果。</w:t>
      </w:r>
    </w:p>
    <w:p>
      <w:pPr>
        <w:pStyle w:val="5"/>
        <w:overflowPunct w:val="0"/>
        <w:spacing w:line="500" w:lineRule="exact"/>
        <w:rPr>
          <w:rFonts w:hAnsi="宋体" w:cs="宋体"/>
        </w:rPr>
      </w:pPr>
    </w:p>
    <w:p>
      <w:pPr>
        <w:pStyle w:val="5"/>
        <w:overflowPunct w:val="0"/>
        <w:spacing w:line="500" w:lineRule="exact"/>
        <w:rPr>
          <w:rFonts w:hAnsi="宋体" w:cs="宋体"/>
        </w:rPr>
      </w:pPr>
      <w:r>
        <w:rPr>
          <w:rFonts w:hint="eastAsia" w:hAnsi="宋体" w:cs="宋体"/>
        </w:rPr>
        <w:tab/>
      </w:r>
      <w:r>
        <w:rPr>
          <w:rFonts w:hint="eastAsia" w:hAnsi="宋体" w:cs="宋体"/>
        </w:rPr>
        <w:tab/>
      </w:r>
      <w:r>
        <w:rPr>
          <w:rFonts w:hint="eastAsia" w:hAnsi="宋体" w:cs="宋体"/>
        </w:rPr>
        <w:tab/>
      </w:r>
      <w:r>
        <w:rPr>
          <w:rFonts w:hint="eastAsia" w:hAnsi="宋体" w:cs="宋体"/>
        </w:rPr>
        <w:tab/>
      </w:r>
      <w:r>
        <w:rPr>
          <w:rFonts w:hint="eastAsia" w:hAnsi="宋体" w:cs="宋体"/>
        </w:rPr>
        <w:t xml:space="preserve">        法定代表人或代理人（签字或盖章）：</w:t>
      </w:r>
    </w:p>
    <w:p>
      <w:pPr>
        <w:pStyle w:val="5"/>
        <w:overflowPunct w:val="0"/>
        <w:spacing w:line="500" w:lineRule="exact"/>
        <w:ind w:left="1700" w:firstLine="425"/>
        <w:rPr>
          <w:rFonts w:hAnsi="宋体" w:cs="宋体"/>
        </w:rPr>
      </w:pPr>
      <w:r>
        <w:rPr>
          <w:rFonts w:hint="eastAsia" w:hAnsi="宋体" w:cs="宋体"/>
        </w:rPr>
        <w:t xml:space="preserve">        投标单位（盖章）：</w:t>
      </w:r>
    </w:p>
    <w:p>
      <w:pPr>
        <w:pStyle w:val="5"/>
        <w:overflowPunct w:val="0"/>
        <w:spacing w:line="500" w:lineRule="exact"/>
        <w:rPr>
          <w:rFonts w:hAnsi="宋体" w:cs="宋体"/>
        </w:rPr>
      </w:pPr>
      <w:r>
        <w:rPr>
          <w:rFonts w:hint="eastAsia" w:hAnsi="宋体" w:cs="宋体"/>
        </w:rPr>
        <w:t xml:space="preserve">               </w:t>
      </w:r>
    </w:p>
    <w:p>
      <w:pPr>
        <w:pStyle w:val="5"/>
        <w:overflowPunct w:val="0"/>
        <w:spacing w:line="500" w:lineRule="exact"/>
        <w:ind w:left="3507" w:firstLine="1145"/>
        <w:rPr>
          <w:rFonts w:hAnsi="宋体" w:cs="宋体"/>
        </w:rPr>
      </w:pPr>
      <w:r>
        <w:rPr>
          <w:rFonts w:hint="eastAsia" w:hAnsi="宋体" w:cs="宋体"/>
        </w:rPr>
        <w:t>年</w:t>
      </w:r>
      <w:r>
        <w:rPr>
          <w:rFonts w:hint="eastAsia" w:hAnsi="宋体" w:cs="宋体"/>
        </w:rPr>
        <w:tab/>
      </w:r>
      <w:r>
        <w:rPr>
          <w:rFonts w:hint="eastAsia" w:hAnsi="宋体" w:cs="宋体"/>
        </w:rPr>
        <w:t xml:space="preserve"> 月 </w:t>
      </w:r>
      <w:r>
        <w:rPr>
          <w:rFonts w:hint="eastAsia" w:hAnsi="宋体" w:cs="宋体"/>
        </w:rPr>
        <w:tab/>
      </w:r>
      <w:r>
        <w:rPr>
          <w:rFonts w:hint="eastAsia" w:hAnsi="宋体" w:cs="宋体"/>
        </w:rPr>
        <w:t>日</w:t>
      </w:r>
    </w:p>
    <w:p>
      <w:pPr>
        <w:pStyle w:val="5"/>
        <w:overflowPunct w:val="0"/>
        <w:spacing w:line="500" w:lineRule="exact"/>
        <w:ind w:firstLine="0"/>
        <w:rPr>
          <w:rFonts w:hAnsi="宋体" w:cs="宋体"/>
          <w:b/>
          <w:bCs/>
          <w:color w:val="000000"/>
          <w:sz w:val="32"/>
          <w:szCs w:val="32"/>
        </w:rPr>
      </w:pPr>
    </w:p>
    <w:bookmarkEnd w:id="32"/>
    <w:bookmarkEnd w:id="33"/>
    <w:bookmarkEnd w:id="34"/>
    <w:bookmarkEnd w:id="35"/>
    <w:bookmarkEnd w:id="36"/>
    <w:bookmarkEnd w:id="37"/>
    <w:bookmarkEnd w:id="38"/>
    <w:p>
      <w:pPr>
        <w:spacing w:line="360" w:lineRule="exact"/>
        <w:rPr>
          <w:rFonts w:ascii="宋体" w:hAnsi="宋体" w:cs="宋体"/>
          <w:b/>
          <w:bCs/>
          <w:sz w:val="28"/>
          <w:szCs w:val="28"/>
        </w:rPr>
      </w:pPr>
      <w:bookmarkStart w:id="39" w:name="_Toc322435838"/>
      <w:bookmarkStart w:id="40" w:name="_Toc331056456"/>
      <w:bookmarkStart w:id="41" w:name="_Toc330998568"/>
      <w:bookmarkStart w:id="42" w:name="_Toc322436008"/>
      <w:bookmarkStart w:id="43" w:name="_Toc322436243"/>
      <w:bookmarkStart w:id="44" w:name="_Toc331061677"/>
      <w:bookmarkStart w:id="45" w:name="_Toc322436063"/>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sz w:val="28"/>
        </w:rPr>
      </w:pPr>
      <w:r>
        <w:rPr>
          <w:rFonts w:hint="eastAsia" w:ascii="宋体" w:hAnsi="宋体" w:cs="宋体"/>
          <w:b/>
          <w:bCs/>
          <w:sz w:val="28"/>
          <w:szCs w:val="28"/>
        </w:rPr>
        <w:t>附件五：</w:t>
      </w:r>
      <w:bookmarkEnd w:id="39"/>
      <w:bookmarkEnd w:id="40"/>
      <w:bookmarkEnd w:id="41"/>
      <w:bookmarkEnd w:id="42"/>
      <w:bookmarkEnd w:id="43"/>
      <w:bookmarkEnd w:id="44"/>
      <w:bookmarkEnd w:id="45"/>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2"/>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5"/>
        <w:overflowPunct w:val="0"/>
        <w:spacing w:line="500" w:lineRule="exact"/>
        <w:ind w:firstLine="0"/>
        <w:rPr>
          <w:rFonts w:hAnsi="宋体"/>
          <w:sz w:val="18"/>
          <w:szCs w:val="18"/>
        </w:rPr>
      </w:pPr>
    </w:p>
    <w:p>
      <w:pPr>
        <w:pStyle w:val="5"/>
        <w:overflowPunct w:val="0"/>
        <w:spacing w:line="500" w:lineRule="exact"/>
        <w:ind w:firstLine="0"/>
        <w:rPr>
          <w:rFonts w:hAnsi="宋体"/>
          <w:sz w:val="18"/>
          <w:szCs w:val="18"/>
        </w:rPr>
      </w:pPr>
    </w:p>
    <w:p>
      <w:pPr>
        <w:rPr>
          <w:rFonts w:hAnsi="宋体"/>
          <w:szCs w:val="21"/>
        </w:rPr>
      </w:pP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5"/>
        <w:overflowPunct w:val="0"/>
        <w:spacing w:line="500" w:lineRule="exact"/>
        <w:ind w:firstLine="0"/>
        <w:rPr>
          <w:rFonts w:hAnsi="宋体" w:cs="宋体"/>
          <w:b/>
          <w:bCs/>
          <w:color w:val="000000"/>
          <w:sz w:val="30"/>
          <w:szCs w:val="30"/>
        </w:rPr>
      </w:pPr>
    </w:p>
    <w:p>
      <w:pPr>
        <w:pStyle w:val="5"/>
        <w:overflowPunct w:val="0"/>
        <w:spacing w:line="500" w:lineRule="exact"/>
        <w:ind w:firstLine="0"/>
        <w:rPr>
          <w:rFonts w:hAnsi="宋体" w:cs="宋体"/>
          <w:b/>
          <w:bCs/>
          <w:color w:val="000000"/>
          <w:sz w:val="30"/>
          <w:szCs w:val="30"/>
        </w:rPr>
      </w:pPr>
      <w:r>
        <w:rPr>
          <w:rFonts w:hint="eastAsia" w:hAnsi="宋体" w:cs="宋体"/>
          <w:b/>
          <w:bCs/>
          <w:color w:val="000000"/>
          <w:sz w:val="30"/>
          <w:szCs w:val="30"/>
        </w:rPr>
        <w:t>附件六：服务承诺书</w:t>
      </w:r>
    </w:p>
    <w:p>
      <w:pPr>
        <w:pStyle w:val="3"/>
        <w:tabs>
          <w:tab w:val="left" w:pos="432"/>
        </w:tabs>
        <w:spacing w:line="480" w:lineRule="exact"/>
        <w:rPr>
          <w:rFonts w:ascii="宋体" w:hAnsi="宋体" w:eastAsia="宋体" w:cs="宋体"/>
          <w:b/>
          <w:bCs/>
          <w:color w:val="000000"/>
          <w:sz w:val="32"/>
          <w:szCs w:val="32"/>
        </w:rPr>
      </w:pPr>
    </w:p>
    <w:p>
      <w:pPr>
        <w:pStyle w:val="3"/>
        <w:tabs>
          <w:tab w:val="left" w:pos="432"/>
        </w:tabs>
        <w:spacing w:line="480" w:lineRule="exact"/>
        <w:rPr>
          <w:rFonts w:ascii="宋体" w:hAnsi="宋体" w:eastAsia="宋体" w:cs="宋体"/>
          <w:b/>
          <w:bCs/>
          <w:color w:val="000000"/>
          <w:sz w:val="32"/>
          <w:szCs w:val="32"/>
        </w:rPr>
      </w:pPr>
      <w:r>
        <w:rPr>
          <w:rFonts w:hint="eastAsia" w:ascii="宋体" w:hAnsi="宋体" w:eastAsia="宋体" w:cs="宋体"/>
          <w:b/>
          <w:bCs/>
          <w:color w:val="000000"/>
          <w:sz w:val="32"/>
          <w:szCs w:val="32"/>
        </w:rPr>
        <w:t>服务承诺书</w:t>
      </w:r>
    </w:p>
    <w:p>
      <w:pPr>
        <w:spacing w:line="360" w:lineRule="auto"/>
        <w:rPr>
          <w:rFonts w:ascii="宋体" w:hAnsi="宋体" w:cs="宋体"/>
          <w:sz w:val="24"/>
        </w:rPr>
      </w:pPr>
    </w:p>
    <w:p>
      <w:pPr>
        <w:spacing w:line="360" w:lineRule="auto"/>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rPr>
          <w:rFonts w:ascii="宋体" w:hAnsi="宋体" w:cs="宋体"/>
          <w:color w:val="000000"/>
          <w:sz w:val="24"/>
        </w:rPr>
      </w:pPr>
      <w:r>
        <w:rPr>
          <w:rFonts w:hint="eastAsia" w:ascii="宋体" w:hAnsi="宋体" w:cs="宋体"/>
          <w:color w:val="000000"/>
          <w:sz w:val="24"/>
        </w:rPr>
        <w:t>售后服务承诺如下：</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pStyle w:val="37"/>
        <w:ind w:firstLine="480"/>
        <w:rPr>
          <w:rFonts w:hAnsi="宋体" w:cs="宋体"/>
          <w:szCs w:val="24"/>
        </w:rPr>
      </w:pPr>
    </w:p>
    <w:p>
      <w:pPr>
        <w:rPr>
          <w:rFonts w:ascii="宋体" w:hAnsi="宋体" w:cs="宋体"/>
          <w:sz w:val="24"/>
        </w:rPr>
      </w:pPr>
    </w:p>
    <w:p>
      <w:pPr>
        <w:pStyle w:val="37"/>
        <w:ind w:firstLine="480"/>
      </w:pPr>
    </w:p>
    <w:p>
      <w:pPr>
        <w:pStyle w:val="5"/>
        <w:overflowPunct w:val="0"/>
        <w:spacing w:line="500" w:lineRule="exact"/>
        <w:rPr>
          <w:rFonts w:hAnsi="宋体" w:cs="宋体"/>
          <w:color w:val="000000"/>
        </w:rPr>
      </w:pPr>
      <w:r>
        <w:rPr>
          <w:rFonts w:hint="eastAsia" w:hAnsi="宋体" w:cs="宋体"/>
        </w:rPr>
        <w:t xml:space="preserve">                           </w:t>
      </w:r>
      <w:r>
        <w:rPr>
          <w:rFonts w:hint="eastAsia" w:hAnsi="宋体" w:cs="宋体"/>
          <w:color w:val="000000"/>
        </w:rPr>
        <w:t xml:space="preserve"> 竞标单位（盖章）：</w:t>
      </w:r>
    </w:p>
    <w:p>
      <w:pPr>
        <w:pStyle w:val="5"/>
        <w:overflowPunct w:val="0"/>
        <w:spacing w:line="500" w:lineRule="exact"/>
        <w:rPr>
          <w:rFonts w:hAnsi="宋体" w:cs="宋体"/>
          <w:color w:val="000000"/>
        </w:rPr>
      </w:pPr>
      <w:r>
        <w:rPr>
          <w:rFonts w:hint="eastAsia" w:hAnsi="宋体" w:cs="宋体"/>
          <w:color w:val="000000"/>
        </w:rPr>
        <w:t xml:space="preserve">                            法定代表人或委托代理人（签字或盖章）：</w:t>
      </w:r>
    </w:p>
    <w:p>
      <w:pPr>
        <w:pStyle w:val="5"/>
        <w:overflowPunct w:val="0"/>
        <w:spacing w:line="500" w:lineRule="exact"/>
        <w:rPr>
          <w:rFonts w:hAnsi="宋体" w:cs="宋体"/>
          <w:color w:val="000000"/>
        </w:rPr>
      </w:pPr>
      <w:r>
        <w:rPr>
          <w:rFonts w:hint="eastAsia" w:hAnsi="宋体" w:cs="宋体"/>
          <w:color w:val="000000"/>
        </w:rPr>
        <w:t xml:space="preserve">                            日 期：</w:t>
      </w:r>
    </w:p>
    <w:p>
      <w:pPr>
        <w:rPr>
          <w:rFonts w:hAnsi="宋体"/>
          <w:szCs w:val="21"/>
        </w:rPr>
      </w:pPr>
    </w:p>
    <w:p>
      <w:pPr>
        <w:rPr>
          <w:rFonts w:hAnsi="宋体"/>
          <w:szCs w:val="21"/>
        </w:rPr>
      </w:pPr>
    </w:p>
    <w:p>
      <w:pPr>
        <w:pStyle w:val="4"/>
        <w:spacing w:line="520" w:lineRule="exact"/>
        <w:rPr>
          <w:rFonts w:ascii="宋体" w:hAnsi="宋体" w:cs="宋体"/>
          <w:sz w:val="28"/>
          <w:szCs w:val="28"/>
        </w:rPr>
      </w:pPr>
      <w:bookmarkStart w:id="46" w:name="_Toc330998570"/>
      <w:bookmarkStart w:id="47" w:name="_Toc331061679"/>
      <w:bookmarkStart w:id="48" w:name="_Toc331056458"/>
    </w:p>
    <w:p>
      <w:pPr>
        <w:pStyle w:val="4"/>
        <w:spacing w:line="520" w:lineRule="exact"/>
        <w:rPr>
          <w:rFonts w:ascii="宋体" w:hAnsi="宋体" w:cs="宋体"/>
          <w:sz w:val="28"/>
          <w:szCs w:val="28"/>
        </w:rPr>
      </w:pPr>
    </w:p>
    <w:p>
      <w:pPr>
        <w:pStyle w:val="4"/>
        <w:spacing w:line="520" w:lineRule="exact"/>
        <w:rPr>
          <w:rFonts w:ascii="宋体" w:hAnsi="宋体" w:cs="宋体"/>
          <w:sz w:val="28"/>
          <w:szCs w:val="28"/>
        </w:rPr>
      </w:pPr>
    </w:p>
    <w:p>
      <w:pPr>
        <w:pStyle w:val="4"/>
        <w:spacing w:line="520" w:lineRule="exact"/>
        <w:rPr>
          <w:rFonts w:ascii="宋体" w:hAnsi="宋体" w:cs="宋体"/>
          <w:sz w:val="28"/>
          <w:szCs w:val="28"/>
        </w:rPr>
      </w:pPr>
    </w:p>
    <w:bookmarkEnd w:id="46"/>
    <w:bookmarkEnd w:id="47"/>
    <w:bookmarkEnd w:id="48"/>
    <w:p>
      <w:pPr>
        <w:spacing w:line="520" w:lineRule="exact"/>
        <w:ind w:firstLine="420" w:firstLineChars="200"/>
        <w:jc w:val="center"/>
        <w:rPr>
          <w:rFonts w:ascii="宋体" w:hAnsi="宋体" w:cs="宋体"/>
          <w:szCs w:val="21"/>
        </w:rPr>
      </w:pPr>
    </w:p>
    <w:p>
      <w:pPr>
        <w:spacing w:line="520" w:lineRule="exact"/>
        <w:ind w:firstLine="420" w:firstLineChars="200"/>
        <w:jc w:val="center"/>
        <w:rPr>
          <w:rFonts w:ascii="宋体" w:hAnsi="宋体" w:cs="宋体"/>
          <w:szCs w:val="21"/>
        </w:rPr>
      </w:pPr>
    </w:p>
    <w:p>
      <w:pPr>
        <w:spacing w:line="520" w:lineRule="exact"/>
        <w:rPr>
          <w:rFonts w:ascii="宋体" w:cs="宋体"/>
          <w:szCs w:val="21"/>
        </w:rPr>
      </w:pPr>
    </w:p>
    <w:p>
      <w:pPr>
        <w:spacing w:line="520" w:lineRule="exact"/>
        <w:rPr>
          <w:rFonts w:ascii="宋体" w:cs="宋体"/>
          <w:szCs w:val="21"/>
        </w:rPr>
      </w:pPr>
    </w:p>
    <w:p>
      <w:pPr>
        <w:spacing w:line="520" w:lineRule="exact"/>
        <w:rPr>
          <w:rFonts w:ascii="宋体" w:cs="宋体"/>
          <w:szCs w:val="21"/>
        </w:rPr>
      </w:pPr>
    </w:p>
    <w:p>
      <w:pPr>
        <w:spacing w:line="360" w:lineRule="auto"/>
        <w:outlineLvl w:val="0"/>
        <w:rPr>
          <w:rFonts w:ascii="宋体" w:hAnsi="宋体" w:cs="宋体"/>
          <w:b/>
          <w:sz w:val="28"/>
          <w:szCs w:val="28"/>
        </w:rPr>
      </w:pPr>
      <w:r>
        <w:rPr>
          <w:rFonts w:hint="eastAsia" w:ascii="宋体" w:hAnsi="宋体" w:cs="宋体"/>
          <w:b/>
          <w:sz w:val="30"/>
          <w:szCs w:val="30"/>
        </w:rPr>
        <w:t>附件七：未被“信用中国”网站（WWW.creditchina.gov.cn）、“中国政府采购网”网站（www.ccgp.gov.cn）列入失信被执行人、重大税收违法案件当事人名单、政府采购严重失信行为记录名单范本格式</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5”格式进行截图，图片显示内容必须清晰可辨。</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rFonts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widowControl/>
        <w:jc w:val="left"/>
        <w:rPr>
          <w:rFonts w:ascii="宋体" w:hAnsi="宋体" w:cs="宋体"/>
        </w:rPr>
      </w:pPr>
      <w:r>
        <w:rPr>
          <w:rFonts w:hint="eastAsia" w:ascii="宋体" w:hAnsi="宋体" w:cs="宋体"/>
        </w:rPr>
        <w:drawing>
          <wp:inline distT="0" distB="0" distL="114300" distR="114300">
            <wp:extent cx="5727065" cy="3060700"/>
            <wp:effectExtent l="0" t="0" r="3175" b="2540"/>
            <wp:docPr id="6" name="图片 1"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图片20200109211747"/>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8"/>
        <w:rPr>
          <w:rFonts w:ascii="宋体" w:hAnsi="宋体" w:cs="宋体"/>
          <w:b/>
          <w:bCs/>
          <w:sz w:val="28"/>
          <w:szCs w:val="28"/>
        </w:rPr>
      </w:pPr>
      <w:bookmarkStart w:id="49" w:name="_Toc6184_WPSOffice_Level1"/>
    </w:p>
    <w:p>
      <w:pPr>
        <w:pStyle w:val="8"/>
        <w:rPr>
          <w:rFonts w:ascii="宋体" w:hAnsi="宋体" w:cs="宋体"/>
          <w:b/>
          <w:bCs/>
          <w:sz w:val="28"/>
          <w:szCs w:val="28"/>
        </w:rPr>
      </w:pPr>
      <w:r>
        <w:rPr>
          <w:rFonts w:hint="eastAsia" w:ascii="宋体" w:hAnsi="宋体" w:cs="宋体"/>
          <w:b/>
          <w:bCs/>
          <w:sz w:val="28"/>
          <w:szCs w:val="28"/>
        </w:rPr>
        <w:t>图1（失信被执行人范本）</w:t>
      </w:r>
      <w:bookmarkEnd w:id="49"/>
    </w:p>
    <w:p>
      <w:pPr>
        <w:widowControl/>
        <w:jc w:val="center"/>
        <w:rPr>
          <w:rFonts w:ascii="宋体" w:hAnsi="宋体" w:cs="宋体"/>
        </w:rPr>
      </w:pPr>
      <w:r>
        <w:rPr>
          <w:rFonts w:hint="eastAsia" w:ascii="宋体" w:hAnsi="宋体" w:cs="宋体"/>
          <w:kern w:val="0"/>
          <w:sz w:val="24"/>
        </w:rPr>
        <w:drawing>
          <wp:inline distT="0" distB="0" distL="114300" distR="114300">
            <wp:extent cx="6070600" cy="3239135"/>
            <wp:effectExtent l="0" t="0" r="10160" b="698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6070600" cy="3239135"/>
                    </a:xfrm>
                    <a:prstGeom prst="rect">
                      <a:avLst/>
                    </a:prstGeom>
                    <a:noFill/>
                    <a:ln>
                      <a:noFill/>
                    </a:ln>
                  </pic:spPr>
                </pic:pic>
              </a:graphicData>
            </a:graphic>
          </wp:inline>
        </w:drawing>
      </w:r>
    </w:p>
    <w:p>
      <w:pPr>
        <w:rPr>
          <w:rFonts w:ascii="宋体" w:hAnsi="宋体" w:cs="宋体"/>
        </w:rPr>
      </w:pPr>
    </w:p>
    <w:p>
      <w:pPr>
        <w:rPr>
          <w:rFonts w:ascii="宋体" w:hAnsi="宋体" w:cs="宋体"/>
          <w:b/>
          <w:bCs/>
          <w:sz w:val="28"/>
          <w:szCs w:val="28"/>
        </w:rPr>
      </w:pPr>
      <w:bookmarkStart w:id="50" w:name="_Toc5804_WPSOffice_Level1"/>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图2（企业经营异常名录）</w:t>
      </w:r>
      <w:bookmarkEnd w:id="50"/>
    </w:p>
    <w:p>
      <w:pPr>
        <w:widowControl/>
        <w:jc w:val="left"/>
        <w:rPr>
          <w:rFonts w:ascii="宋体" w:hAnsi="宋体" w:cs="宋体"/>
        </w:rPr>
      </w:pPr>
      <w:r>
        <w:rPr>
          <w:rFonts w:hint="eastAsia" w:ascii="宋体" w:hAnsi="宋体" w:cs="宋体"/>
          <w:kern w:val="0"/>
          <w:sz w:val="24"/>
        </w:rPr>
        <w:drawing>
          <wp:inline distT="0" distB="0" distL="114300" distR="114300">
            <wp:extent cx="6049010" cy="3331845"/>
            <wp:effectExtent l="0" t="0" r="1270" b="571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9"/>
                    <a:stretch>
                      <a:fillRect/>
                    </a:stretch>
                  </pic:blipFill>
                  <pic:spPr>
                    <a:xfrm>
                      <a:off x="0" y="0"/>
                      <a:ext cx="6049010" cy="3331845"/>
                    </a:xfrm>
                    <a:prstGeom prst="rect">
                      <a:avLst/>
                    </a:prstGeom>
                    <a:noFill/>
                    <a:ln>
                      <a:noFill/>
                    </a:ln>
                  </pic:spPr>
                </pic:pic>
              </a:graphicData>
            </a:graphic>
          </wp:inline>
        </w:drawing>
      </w:r>
    </w:p>
    <w:p>
      <w:pPr>
        <w:rPr>
          <w:rFonts w:ascii="宋体" w:hAnsi="宋体" w:cs="宋体"/>
        </w:rPr>
      </w:pPr>
    </w:p>
    <w:p>
      <w:pPr>
        <w:pStyle w:val="8"/>
        <w:rPr>
          <w:rFonts w:ascii="宋体" w:hAnsi="宋体" w:cs="宋体"/>
        </w:rPr>
      </w:pPr>
    </w:p>
    <w:p>
      <w:pPr>
        <w:rPr>
          <w:rFonts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ascii="宋体" w:hAnsi="宋体" w:cs="宋体"/>
        </w:rPr>
      </w:pPr>
      <w:r>
        <w:rPr>
          <w:rFonts w:hint="eastAsia" w:ascii="宋体" w:hAnsi="宋体" w:cs="宋体"/>
          <w:kern w:val="0"/>
          <w:sz w:val="24"/>
        </w:rPr>
        <w:drawing>
          <wp:inline distT="0" distB="0" distL="114300" distR="114300">
            <wp:extent cx="5819775" cy="3122295"/>
            <wp:effectExtent l="0" t="0" r="1905" b="190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0"/>
                    <a:stretch>
                      <a:fillRect/>
                    </a:stretch>
                  </pic:blipFill>
                  <pic:spPr>
                    <a:xfrm>
                      <a:off x="0" y="0"/>
                      <a:ext cx="5819775" cy="3122295"/>
                    </a:xfrm>
                    <a:prstGeom prst="rect">
                      <a:avLst/>
                    </a:prstGeom>
                    <a:noFill/>
                    <a:ln>
                      <a:noFill/>
                    </a:ln>
                  </pic:spPr>
                </pic:pic>
              </a:graphicData>
            </a:graphic>
          </wp:inline>
        </w:drawing>
      </w:r>
    </w:p>
    <w:p>
      <w:pPr>
        <w:rPr>
          <w:rFonts w:ascii="宋体" w:hAnsi="宋体" w:cs="宋体"/>
        </w:rPr>
      </w:pPr>
    </w:p>
    <w:p>
      <w:pPr>
        <w:pStyle w:val="8"/>
        <w:rPr>
          <w:rFonts w:ascii="宋体" w:hAnsi="宋体" w:cs="宋体"/>
        </w:rPr>
      </w:pPr>
    </w:p>
    <w:p>
      <w:pPr>
        <w:pStyle w:val="21"/>
        <w:ind w:firstLine="559"/>
        <w:rPr>
          <w:rFonts w:hAnsi="宋体" w:cs="宋体"/>
          <w:b/>
          <w:bCs/>
          <w:sz w:val="28"/>
          <w:szCs w:val="28"/>
        </w:rPr>
      </w:pPr>
    </w:p>
    <w:p>
      <w:pPr>
        <w:rPr>
          <w:rFonts w:hAnsi="宋体" w:cs="宋体"/>
          <w:b/>
          <w:bCs/>
          <w:sz w:val="28"/>
          <w:szCs w:val="28"/>
        </w:rPr>
      </w:pPr>
    </w:p>
    <w:p>
      <w:pPr>
        <w:pStyle w:val="2"/>
      </w:pPr>
    </w:p>
    <w:p>
      <w:pPr>
        <w:pStyle w:val="21"/>
        <w:ind w:firstLine="559"/>
        <w:rPr>
          <w:rFonts w:hAnsi="宋体" w:cs="宋体"/>
          <w:b/>
          <w:bCs/>
          <w:sz w:val="28"/>
          <w:szCs w:val="28"/>
        </w:rPr>
      </w:pPr>
    </w:p>
    <w:p>
      <w:pPr>
        <w:pStyle w:val="21"/>
        <w:ind w:firstLine="559"/>
        <w:rPr>
          <w:rFonts w:hAnsi="宋体" w:cs="宋体"/>
          <w:b/>
          <w:bCs/>
          <w:sz w:val="28"/>
          <w:szCs w:val="28"/>
        </w:rPr>
      </w:pPr>
      <w:r>
        <w:rPr>
          <w:rFonts w:hint="eastAsia" w:hAnsi="宋体" w:cs="宋体"/>
          <w:b/>
          <w:bCs/>
          <w:sz w:val="28"/>
          <w:szCs w:val="28"/>
        </w:rPr>
        <w:t>图4（相关基本信息范本）</w:t>
      </w:r>
    </w:p>
    <w:p>
      <w:pPr>
        <w:rPr>
          <w:rFonts w:ascii="宋体" w:hAnsi="宋体" w:cs="宋体"/>
        </w:rPr>
      </w:pPr>
      <w:r>
        <w:rPr>
          <w:rFonts w:hint="eastAsia" w:ascii="宋体" w:hAnsi="宋体" w:cs="宋体"/>
        </w:rPr>
        <w:drawing>
          <wp:inline distT="0" distB="0" distL="114300" distR="114300">
            <wp:extent cx="5332095" cy="2771775"/>
            <wp:effectExtent l="0" t="0" r="1905" b="19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332095" cy="2771775"/>
                    </a:xfrm>
                    <a:prstGeom prst="rect">
                      <a:avLst/>
                    </a:prstGeom>
                    <a:noFill/>
                    <a:ln>
                      <a:noFill/>
                    </a:ln>
                  </pic:spPr>
                </pic:pic>
              </a:graphicData>
            </a:graphic>
          </wp:inline>
        </w:drawing>
      </w:r>
    </w:p>
    <w:p>
      <w:pPr>
        <w:pStyle w:val="8"/>
        <w:rPr>
          <w:rFonts w:ascii="宋体" w:hAnsi="宋体" w:cs="宋体"/>
        </w:rPr>
      </w:pPr>
    </w:p>
    <w:p>
      <w:pPr>
        <w:pStyle w:val="21"/>
        <w:ind w:firstLine="559"/>
        <w:rPr>
          <w:rFonts w:hAnsi="宋体" w:cs="宋体"/>
          <w:b/>
          <w:bCs/>
          <w:sz w:val="28"/>
          <w:szCs w:val="28"/>
        </w:rPr>
      </w:pPr>
    </w:p>
    <w:p>
      <w:pPr>
        <w:pStyle w:val="21"/>
        <w:ind w:firstLine="559"/>
        <w:rPr>
          <w:rFonts w:hAnsi="宋体" w:cs="宋体"/>
          <w:b/>
          <w:bCs/>
          <w:sz w:val="28"/>
          <w:szCs w:val="28"/>
        </w:rPr>
      </w:pPr>
      <w:r>
        <w:rPr>
          <w:rFonts w:hint="eastAsia" w:hAnsi="宋体" w:cs="宋体"/>
          <w:b/>
          <w:bCs/>
          <w:sz w:val="28"/>
          <w:szCs w:val="28"/>
        </w:rPr>
        <w:t>图5（政府采购严重失信行为记录名单范本）</w:t>
      </w:r>
    </w:p>
    <w:p>
      <w:pPr>
        <w:widowControl/>
        <w:jc w:val="left"/>
        <w:rPr>
          <w:rFonts w:ascii="宋体" w:hAnsi="宋体" w:cs="宋体"/>
        </w:rPr>
      </w:pPr>
      <w:r>
        <w:rPr>
          <w:rFonts w:hint="eastAsia" w:ascii="宋体" w:hAnsi="宋体" w:cs="宋体"/>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rFonts w:hint="eastAsia" w:ascii="宋体" w:hAnsi="宋体" w:cs="宋体"/>
          <w:kern w:val="0"/>
          <w:sz w:val="24"/>
          <w:lang w:bidi="ar"/>
        </w:rPr>
        <w:fldChar w:fldCharType="separate"/>
      </w:r>
      <w:r>
        <w:rPr>
          <w:rFonts w:hint="eastAsia" w:ascii="宋体" w:hAnsi="宋体" w:cs="宋体"/>
          <w:kern w:val="0"/>
          <w:sz w:val="24"/>
        </w:rPr>
        <w:drawing>
          <wp:inline distT="0" distB="0" distL="114300" distR="114300">
            <wp:extent cx="5744210" cy="4243070"/>
            <wp:effectExtent l="0" t="0" r="1270" b="889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2"/>
                    <a:stretch>
                      <a:fillRect/>
                    </a:stretch>
                  </pic:blipFill>
                  <pic:spPr>
                    <a:xfrm>
                      <a:off x="0" y="0"/>
                      <a:ext cx="5744210" cy="4243070"/>
                    </a:xfrm>
                    <a:prstGeom prst="rect">
                      <a:avLst/>
                    </a:prstGeom>
                    <a:noFill/>
                    <a:ln>
                      <a:noFill/>
                    </a:ln>
                  </pic:spPr>
                </pic:pic>
              </a:graphicData>
            </a:graphic>
          </wp:inline>
        </w:drawing>
      </w:r>
      <w:r>
        <w:rPr>
          <w:rFonts w:hint="eastAsia" w:ascii="宋体" w:hAnsi="宋体" w:cs="宋体"/>
          <w:kern w:val="0"/>
          <w:sz w:val="24"/>
          <w:lang w:bidi="ar"/>
        </w:rPr>
        <w:fldChar w:fldCharType="end"/>
      </w:r>
    </w:p>
    <w:p>
      <w:pPr>
        <w:rPr>
          <w:rFonts w:ascii="宋体" w:hAnsi="宋体" w:cs="宋体"/>
        </w:rPr>
      </w:pPr>
    </w:p>
    <w:p>
      <w:pPr>
        <w:pStyle w:val="21"/>
        <w:ind w:firstLine="419"/>
        <w:rPr>
          <w:rFonts w:hAnsi="宋体" w:cs="宋体"/>
        </w:rPr>
      </w:pPr>
    </w:p>
    <w:p>
      <w:pPr>
        <w:rPr>
          <w:rFonts w:ascii="宋体" w:hAnsi="宋体" w:cs="宋体"/>
        </w:rPr>
      </w:pPr>
    </w:p>
    <w:p>
      <w:pPr>
        <w:pStyle w:val="2"/>
        <w:rPr>
          <w:rFonts w:hAnsi="宋体" w:cs="宋体"/>
        </w:rPr>
      </w:pPr>
    </w:p>
    <w:p>
      <w:pPr>
        <w:rPr>
          <w:rFonts w:ascii="宋体" w:hAnsi="宋体" w:cs="宋体"/>
        </w:rPr>
      </w:pPr>
    </w:p>
    <w:p>
      <w:pPr>
        <w:pStyle w:val="2"/>
      </w:pPr>
    </w:p>
    <w:p>
      <w:pPr>
        <w:widowControl/>
        <w:jc w:val="left"/>
        <w:rPr>
          <w:rFonts w:ascii="宋体" w:hAnsi="宋体" w:cs="宋体"/>
          <w:kern w:val="0"/>
          <w:sz w:val="24"/>
          <w:lang w:bidi="ar"/>
        </w:rPr>
      </w:pPr>
      <w:r>
        <w:rPr>
          <w:rFonts w:hint="eastAsia" w:ascii="宋体" w:hAnsi="宋体" w:cs="宋体"/>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Files\\Administrator\\AppData\\Roaming\\Tencent\\Users\\295076508\\QQ\\WinTemp\\RichOle\\)RSBO~E1GS%25PNMO676NU%7bE6.png" \* MERGEFORMAT \d </w:instrText>
      </w:r>
      <w:r>
        <w:rPr>
          <w:rFonts w:hint="eastAsia" w:ascii="宋体" w:hAnsi="宋体" w:cs="宋体"/>
          <w:kern w:val="0"/>
          <w:sz w:val="24"/>
          <w:lang w:bidi="ar"/>
        </w:rPr>
        <w:fldChar w:fldCharType="separate"/>
      </w:r>
      <w:r>
        <w:rPr>
          <w:rFonts w:hint="eastAsia" w:ascii="宋体" w:hAnsi="宋体" w:cs="宋体"/>
          <w:kern w:val="0"/>
          <w:sz w:val="24"/>
        </w:rPr>
        <w:drawing>
          <wp:inline distT="0" distB="0" distL="114300" distR="114300">
            <wp:extent cx="5785485" cy="2611755"/>
            <wp:effectExtent l="0" t="0" r="571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3"/>
                    <a:stretch>
                      <a:fillRect/>
                    </a:stretch>
                  </pic:blipFill>
                  <pic:spPr>
                    <a:xfrm>
                      <a:off x="0" y="0"/>
                      <a:ext cx="5785485" cy="2611755"/>
                    </a:xfrm>
                    <a:prstGeom prst="rect">
                      <a:avLst/>
                    </a:prstGeom>
                    <a:noFill/>
                    <a:ln>
                      <a:noFill/>
                    </a:ln>
                  </pic:spPr>
                </pic:pic>
              </a:graphicData>
            </a:graphic>
          </wp:inline>
        </w:drawing>
      </w:r>
      <w:r>
        <w:rPr>
          <w:rFonts w:hint="eastAsia" w:ascii="宋体" w:hAnsi="宋体" w:cs="宋体"/>
          <w:kern w:val="0"/>
          <w:sz w:val="24"/>
          <w:lang w:bidi="ar"/>
        </w:rPr>
        <w:fldChar w:fldCharType="end"/>
      </w:r>
    </w:p>
    <w:p>
      <w:pPr>
        <w:pStyle w:val="8"/>
        <w:rPr>
          <w:rFonts w:ascii="宋体" w:hAnsi="宋体" w:cs="宋体"/>
          <w:kern w:val="0"/>
          <w:sz w:val="24"/>
          <w:lang w:bidi="ar"/>
        </w:rPr>
      </w:pPr>
    </w:p>
    <w:p>
      <w:pPr>
        <w:rPr>
          <w:rFonts w:ascii="宋体" w:hAnsi="宋体" w:cs="宋体"/>
        </w:rPr>
      </w:pPr>
    </w:p>
    <w:p>
      <w:pPr>
        <w:pStyle w:val="21"/>
        <w:ind w:firstLine="419"/>
        <w:rPr>
          <w:rFonts w:hAnsi="宋体" w:cs="宋体"/>
        </w:rPr>
      </w:pPr>
    </w:p>
    <w:p>
      <w:pPr>
        <w:rPr>
          <w:rFonts w:ascii="宋体" w:hAnsi="宋体" w:cs="宋体"/>
        </w:rPr>
      </w:pPr>
      <w:r>
        <w:rPr>
          <w:rFonts w:hint="eastAsia" w:ascii="宋体" w:hAnsi="宋体" w:cs="宋体"/>
        </w:rPr>
        <w:drawing>
          <wp:inline distT="0" distB="0" distL="114300" distR="114300">
            <wp:extent cx="5730875" cy="3590925"/>
            <wp:effectExtent l="0" t="0" r="14605" b="5715"/>
            <wp:docPr id="7"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Pr>
        <w:rPr>
          <w:rFonts w:ascii="宋体" w:hAnsi="宋体" w:cs="宋体"/>
        </w:rPr>
      </w:pPr>
    </w:p>
    <w:p>
      <w:pPr>
        <w:rPr>
          <w:rFonts w:ascii="宋体" w:hAnsi="宋体" w:cs="宋体"/>
        </w:rPr>
      </w:pPr>
    </w:p>
    <w:p>
      <w:pPr>
        <w:pStyle w:val="8"/>
        <w:rPr>
          <w:rFonts w:ascii="宋体" w:hAnsi="宋体" w:cs="宋体"/>
        </w:rPr>
      </w:pPr>
    </w:p>
    <w:p>
      <w:pPr>
        <w:rPr>
          <w:rFonts w:ascii="宋体" w:hAnsi="宋体" w:cs="宋体"/>
        </w:rPr>
      </w:pPr>
    </w:p>
    <w:p>
      <w:pPr>
        <w:pStyle w:val="4"/>
      </w:pPr>
    </w:p>
    <w:p>
      <w:pPr>
        <w:pStyle w:val="8"/>
        <w:rPr>
          <w:rFonts w:ascii="宋体" w:hAnsi="宋体" w:cs="宋体"/>
        </w:rPr>
      </w:pPr>
    </w:p>
    <w:p>
      <w:pPr>
        <w:rPr>
          <w:rFonts w:ascii="宋体" w:hAnsi="宋体" w:cs="宋体"/>
        </w:rPr>
      </w:pPr>
    </w:p>
    <w:p>
      <w:pPr>
        <w:rPr>
          <w:rFonts w:ascii="宋体" w:hAnsi="宋体" w:cs="宋体"/>
        </w:rPr>
      </w:pPr>
    </w:p>
    <w:p>
      <w:pPr>
        <w:pStyle w:val="3"/>
        <w:rPr>
          <w:rFonts w:ascii="宋体" w:hAnsi="宋体" w:eastAsia="宋体" w:cs="宋体"/>
          <w:color w:val="000000"/>
        </w:rPr>
      </w:pPr>
      <w:bookmarkStart w:id="51" w:name="_Toc17534523"/>
      <w:r>
        <w:rPr>
          <w:rFonts w:hint="eastAsia" w:ascii="宋体" w:hAnsi="宋体" w:eastAsia="宋体" w:cs="宋体"/>
          <w:b/>
          <w:bCs/>
          <w:color w:val="000000"/>
          <w:sz w:val="30"/>
          <w:szCs w:val="30"/>
        </w:rPr>
        <w:t>友 情 提 醒</w:t>
      </w:r>
      <w:bookmarkEnd w:id="51"/>
    </w:p>
    <w:p>
      <w:pPr>
        <w:spacing w:line="520" w:lineRule="exact"/>
        <w:rPr>
          <w:rFonts w:ascii="宋体" w:hAnsi="宋体" w:cs="宋体"/>
          <w:color w:val="000000"/>
          <w:sz w:val="24"/>
        </w:rPr>
      </w:pPr>
      <w:r>
        <w:rPr>
          <w:rFonts w:hint="eastAsia" w:ascii="宋体" w:hAnsi="宋体" w:cs="宋体"/>
          <w:color w:val="000000"/>
          <w:sz w:val="24"/>
        </w:rPr>
        <w:t>各竞标单位：</w:t>
      </w:r>
    </w:p>
    <w:p>
      <w:pPr>
        <w:spacing w:line="520" w:lineRule="exact"/>
        <w:ind w:firstLine="480" w:firstLineChars="200"/>
        <w:rPr>
          <w:rFonts w:ascii="宋体" w:hAnsi="宋体" w:cs="宋体"/>
          <w:color w:val="000000"/>
          <w:sz w:val="24"/>
        </w:rPr>
      </w:pPr>
      <w:r>
        <w:rPr>
          <w:rFonts w:hint="eastAsia" w:ascii="宋体" w:hAnsi="宋体" w:cs="宋体"/>
          <w:color w:val="000000"/>
          <w:sz w:val="24"/>
        </w:rPr>
        <w:t>您好！</w:t>
      </w:r>
    </w:p>
    <w:p>
      <w:pPr>
        <w:spacing w:line="520" w:lineRule="exact"/>
        <w:ind w:firstLine="480" w:firstLineChars="200"/>
        <w:rPr>
          <w:rFonts w:ascii="宋体" w:hAnsi="宋体" w:cs="宋体"/>
          <w:color w:val="000000"/>
          <w:sz w:val="24"/>
        </w:rPr>
      </w:pPr>
      <w:r>
        <w:rPr>
          <w:rFonts w:hint="eastAsia" w:ascii="宋体" w:hAnsi="宋体" w:cs="宋体"/>
          <w:color w:val="000000"/>
          <w:sz w:val="24"/>
        </w:rPr>
        <w:t>为了提高贵单位的响应文件的有效性，减少不必要的无效投标，特友情提醒注意以下几点：</w:t>
      </w:r>
    </w:p>
    <w:p>
      <w:pPr>
        <w:spacing w:line="520" w:lineRule="exact"/>
        <w:ind w:firstLine="480" w:firstLineChars="200"/>
        <w:rPr>
          <w:rFonts w:ascii="宋体" w:hAnsi="宋体" w:cs="宋体"/>
          <w:color w:val="000000"/>
          <w:sz w:val="24"/>
        </w:rPr>
      </w:pPr>
      <w:r>
        <w:rPr>
          <w:rFonts w:hint="eastAsia" w:ascii="宋体" w:hAnsi="宋体" w:cs="宋体"/>
          <w:color w:val="000000"/>
          <w:sz w:val="24"/>
        </w:rPr>
        <w:t>1.请谨记招标文件上表述的</w:t>
      </w:r>
      <w:r>
        <w:rPr>
          <w:rFonts w:hint="eastAsia" w:ascii="宋体" w:hAnsi="宋体" w:cs="宋体"/>
          <w:b/>
          <w:color w:val="000000"/>
          <w:sz w:val="24"/>
        </w:rPr>
        <w:t>各项事宜时间节点</w:t>
      </w:r>
      <w:r>
        <w:rPr>
          <w:rFonts w:hint="eastAsia" w:ascii="宋体" w:hAnsi="宋体" w:cs="宋体"/>
          <w:color w:val="000000"/>
          <w:sz w:val="24"/>
        </w:rPr>
        <w:t>，特别是</w:t>
      </w:r>
      <w:r>
        <w:rPr>
          <w:rFonts w:hint="eastAsia" w:ascii="宋体" w:hAnsi="宋体" w:cs="宋体"/>
          <w:b/>
          <w:color w:val="000000"/>
          <w:sz w:val="24"/>
        </w:rPr>
        <w:t>开标时间和地点</w:t>
      </w:r>
      <w:r>
        <w:rPr>
          <w:rFonts w:hint="eastAsia" w:ascii="宋体" w:hAnsi="宋体" w:cs="宋体"/>
          <w:color w:val="000000"/>
          <w:sz w:val="24"/>
        </w:rPr>
        <w:t>，迟到的将一律不能进入开标室</w:t>
      </w:r>
    </w:p>
    <w:p>
      <w:pPr>
        <w:spacing w:line="520" w:lineRule="exact"/>
        <w:ind w:firstLine="480" w:firstLineChars="200"/>
        <w:rPr>
          <w:rFonts w:ascii="宋体" w:hAnsi="宋体" w:cs="宋体"/>
          <w:color w:val="000000"/>
          <w:sz w:val="24"/>
        </w:rPr>
      </w:pPr>
      <w:r>
        <w:rPr>
          <w:rFonts w:hint="eastAsia" w:ascii="宋体" w:hAnsi="宋体" w:cs="宋体"/>
          <w:color w:val="000000"/>
          <w:sz w:val="24"/>
        </w:rPr>
        <w:t>2.投标保证金一定要从</w:t>
      </w:r>
      <w:r>
        <w:rPr>
          <w:rFonts w:hint="eastAsia" w:ascii="宋体" w:hAnsi="宋体" w:cs="宋体"/>
          <w:b/>
          <w:color w:val="000000"/>
          <w:sz w:val="24"/>
        </w:rPr>
        <w:t>竞标单位账户</w:t>
      </w:r>
      <w:r>
        <w:rPr>
          <w:rFonts w:hint="eastAsia" w:ascii="宋体" w:hAnsi="宋体" w:cs="宋体"/>
          <w:color w:val="000000"/>
          <w:sz w:val="24"/>
        </w:rPr>
        <w:t>按招标文件规定的</w:t>
      </w:r>
      <w:r>
        <w:rPr>
          <w:rFonts w:hint="eastAsia" w:ascii="宋体" w:hAnsi="宋体" w:cs="宋体"/>
          <w:b/>
          <w:color w:val="000000"/>
          <w:sz w:val="24"/>
        </w:rPr>
        <w:t>方式和时间</w:t>
      </w:r>
      <w:r>
        <w:rPr>
          <w:rFonts w:hint="eastAsia" w:ascii="宋体" w:hAnsi="宋体" w:cs="宋体"/>
          <w:color w:val="000000"/>
          <w:sz w:val="24"/>
        </w:rPr>
        <w:t>缴至</w:t>
      </w:r>
      <w:r>
        <w:rPr>
          <w:rFonts w:hint="eastAsia" w:ascii="宋体" w:hAnsi="宋体" w:cs="宋体"/>
          <w:b/>
          <w:color w:val="000000"/>
          <w:sz w:val="24"/>
        </w:rPr>
        <w:t>指定账户并到账</w:t>
      </w:r>
      <w:r>
        <w:rPr>
          <w:rFonts w:hint="eastAsia" w:ascii="宋体" w:hAnsi="宋体" w:cs="宋体"/>
          <w:color w:val="000000"/>
          <w:sz w:val="24"/>
        </w:rPr>
        <w:t>，拒绝以其它方式缴纳，禁止第三方代缴保证金。</w:t>
      </w:r>
    </w:p>
    <w:p>
      <w:pPr>
        <w:spacing w:line="520" w:lineRule="exact"/>
        <w:ind w:firstLine="480" w:firstLineChars="200"/>
        <w:rPr>
          <w:rFonts w:ascii="宋体" w:hAnsi="宋体" w:cs="宋体"/>
          <w:color w:val="000000"/>
          <w:sz w:val="24"/>
        </w:rPr>
      </w:pPr>
      <w:r>
        <w:rPr>
          <w:rFonts w:hint="eastAsia" w:ascii="宋体" w:hAnsi="宋体" w:cs="宋体"/>
          <w:color w:val="000000"/>
          <w:sz w:val="24"/>
        </w:rPr>
        <w:t>3.响应文件</w:t>
      </w:r>
      <w:r>
        <w:rPr>
          <w:rFonts w:hint="eastAsia" w:ascii="宋体" w:hAnsi="宋体" w:cs="宋体"/>
          <w:b/>
          <w:color w:val="000000"/>
          <w:sz w:val="24"/>
        </w:rPr>
        <w:t>应按要求密封，U盘单独密封，</w:t>
      </w:r>
      <w:r>
        <w:rPr>
          <w:rFonts w:hint="eastAsia" w:ascii="宋体" w:hAnsi="宋体" w:cs="宋体"/>
          <w:color w:val="000000"/>
          <w:sz w:val="24"/>
        </w:rPr>
        <w:t>并在封袋上加盖</w:t>
      </w:r>
      <w:r>
        <w:rPr>
          <w:rFonts w:hint="eastAsia" w:ascii="宋体" w:hAnsi="宋体" w:cs="宋体"/>
          <w:b/>
          <w:color w:val="000000"/>
          <w:sz w:val="24"/>
        </w:rPr>
        <w:t>竞标单位公章</w:t>
      </w:r>
      <w:r>
        <w:rPr>
          <w:rFonts w:hint="eastAsia" w:ascii="宋体" w:hAnsi="宋体" w:cs="宋体"/>
          <w:color w:val="000000"/>
          <w:sz w:val="24"/>
        </w:rPr>
        <w:t>。</w:t>
      </w:r>
    </w:p>
    <w:p>
      <w:pPr>
        <w:spacing w:line="520" w:lineRule="exact"/>
        <w:ind w:firstLine="480" w:firstLineChars="200"/>
        <w:rPr>
          <w:rFonts w:ascii="宋体" w:hAnsi="宋体" w:cs="宋体"/>
          <w:color w:val="000000"/>
          <w:sz w:val="24"/>
        </w:rPr>
      </w:pPr>
      <w:r>
        <w:rPr>
          <w:rFonts w:hint="eastAsia" w:ascii="宋体" w:hAnsi="宋体" w:cs="宋体"/>
          <w:color w:val="000000"/>
          <w:sz w:val="24"/>
        </w:rPr>
        <w:t>4.响应文件中的证明文件及资料需提供复印件并加盖</w:t>
      </w:r>
      <w:r>
        <w:rPr>
          <w:rFonts w:hint="eastAsia" w:ascii="宋体" w:hAnsi="宋体" w:cs="宋体"/>
          <w:b/>
          <w:color w:val="000000"/>
          <w:sz w:val="24"/>
        </w:rPr>
        <w:t>公章</w:t>
      </w:r>
      <w:r>
        <w:rPr>
          <w:rFonts w:hint="eastAsia" w:ascii="宋体" w:hAnsi="宋体" w:cs="宋体"/>
          <w:color w:val="000000"/>
          <w:sz w:val="24"/>
        </w:rPr>
        <w:t>，有要求提供原件或公证件的必须将原件或公证件携带至开标现场备查或核查。</w:t>
      </w:r>
    </w:p>
    <w:p>
      <w:pPr>
        <w:spacing w:line="520" w:lineRule="exact"/>
        <w:ind w:firstLine="480" w:firstLineChars="200"/>
        <w:rPr>
          <w:rFonts w:ascii="宋体" w:hAnsi="宋体" w:cs="宋体"/>
          <w:color w:val="000000"/>
          <w:sz w:val="24"/>
        </w:rPr>
      </w:pPr>
      <w:r>
        <w:rPr>
          <w:rFonts w:hint="eastAsia" w:ascii="宋体" w:hAnsi="宋体" w:cs="宋体"/>
          <w:color w:val="000000"/>
          <w:sz w:val="24"/>
        </w:rPr>
        <w:t>5.需要提供样品的，请严格按招标文件要求提供，同时注意</w:t>
      </w:r>
      <w:r>
        <w:rPr>
          <w:rFonts w:hint="eastAsia" w:ascii="宋体" w:hAnsi="宋体" w:cs="宋体"/>
          <w:b/>
          <w:color w:val="000000"/>
          <w:sz w:val="24"/>
        </w:rPr>
        <w:t>密封、隐蔽</w:t>
      </w:r>
      <w:r>
        <w:rPr>
          <w:rFonts w:hint="eastAsia" w:ascii="宋体" w:hAnsi="宋体" w:cs="宋体"/>
          <w:color w:val="000000"/>
          <w:sz w:val="24"/>
        </w:rPr>
        <w:t>标签的相关要求。</w:t>
      </w:r>
    </w:p>
    <w:p>
      <w:pPr>
        <w:spacing w:line="520" w:lineRule="exact"/>
        <w:ind w:firstLine="480" w:firstLineChars="200"/>
        <w:rPr>
          <w:rFonts w:ascii="宋体" w:hAnsi="宋体" w:cs="宋体"/>
          <w:color w:val="000000"/>
          <w:sz w:val="24"/>
        </w:rPr>
      </w:pPr>
      <w:r>
        <w:rPr>
          <w:rFonts w:hint="eastAsia" w:ascii="宋体" w:hAnsi="宋体" w:cs="宋体"/>
          <w:color w:val="000000"/>
          <w:sz w:val="24"/>
        </w:rPr>
        <w:t>6.因招标文件文字表述有限，鼓励您</w:t>
      </w:r>
      <w:r>
        <w:rPr>
          <w:rFonts w:hint="eastAsia" w:ascii="宋体" w:hAnsi="宋体" w:cs="宋体"/>
          <w:b/>
          <w:color w:val="000000"/>
          <w:sz w:val="24"/>
        </w:rPr>
        <w:t>现场踏勘</w:t>
      </w:r>
      <w:r>
        <w:rPr>
          <w:rFonts w:hint="eastAsia" w:ascii="宋体" w:hAnsi="宋体" w:cs="宋体"/>
          <w:color w:val="000000"/>
          <w:sz w:val="24"/>
        </w:rPr>
        <w:t>，可以在投标前充分了解现场环境、项目进度和质量要求等信息，为贵单位有针对性的制作响应文件积累充分的原始资料。</w:t>
      </w:r>
    </w:p>
    <w:p>
      <w:pPr>
        <w:spacing w:line="520" w:lineRule="exact"/>
        <w:ind w:firstLine="480" w:firstLineChars="200"/>
        <w:rPr>
          <w:rFonts w:ascii="宋体" w:hAnsi="宋体" w:cs="宋体"/>
          <w:color w:val="000000"/>
          <w:sz w:val="24"/>
        </w:rPr>
      </w:pPr>
      <w:r>
        <w:rPr>
          <w:rFonts w:hint="eastAsia" w:ascii="宋体" w:hAnsi="宋体" w:cs="宋体"/>
          <w:color w:val="000000"/>
          <w:sz w:val="24"/>
        </w:rPr>
        <w:t>7.设定</w:t>
      </w:r>
      <w:r>
        <w:rPr>
          <w:rFonts w:hint="eastAsia" w:ascii="宋体" w:hAnsi="宋体" w:cs="宋体"/>
          <w:b/>
          <w:color w:val="000000"/>
          <w:sz w:val="24"/>
        </w:rPr>
        <w:t>最高限价</w:t>
      </w:r>
      <w:r>
        <w:rPr>
          <w:rFonts w:hint="eastAsia" w:ascii="宋体" w:hAnsi="宋体" w:cs="宋体"/>
          <w:color w:val="000000"/>
          <w:sz w:val="24"/>
        </w:rPr>
        <w:t>的，超过限价一律废标。</w:t>
      </w:r>
    </w:p>
    <w:p>
      <w:pPr>
        <w:spacing w:line="520" w:lineRule="exact"/>
        <w:ind w:firstLine="480" w:firstLineChars="200"/>
        <w:rPr>
          <w:rFonts w:ascii="宋体" w:hAnsi="宋体" w:cs="宋体"/>
          <w:color w:val="000000"/>
          <w:sz w:val="24"/>
        </w:rPr>
      </w:pPr>
      <w:r>
        <w:rPr>
          <w:rFonts w:hint="eastAsia" w:ascii="宋体" w:hAnsi="宋体" w:cs="宋体"/>
          <w:color w:val="000000"/>
          <w:sz w:val="24"/>
        </w:rPr>
        <w:t>8.请精心仔细</w:t>
      </w:r>
      <w:r>
        <w:rPr>
          <w:rFonts w:hint="eastAsia" w:ascii="宋体" w:hAnsi="宋体" w:cs="宋体"/>
          <w:b/>
          <w:color w:val="000000"/>
          <w:sz w:val="24"/>
        </w:rPr>
        <w:t>审阅招标文件,特别是加粗部分的文字</w:t>
      </w:r>
      <w:r>
        <w:rPr>
          <w:rFonts w:hint="eastAsia" w:ascii="宋体" w:hAnsi="宋体" w:cs="宋体"/>
          <w:color w:val="000000"/>
          <w:sz w:val="24"/>
        </w:rPr>
        <w:t>。如有疑问，请按招标文件要求进行询疑。</w:t>
      </w:r>
    </w:p>
    <w:p>
      <w:pPr>
        <w:spacing w:line="520" w:lineRule="exact"/>
        <w:ind w:firstLine="480" w:firstLineChars="200"/>
        <w:rPr>
          <w:rFonts w:ascii="宋体" w:hAnsi="宋体" w:cs="宋体"/>
          <w:color w:val="000000"/>
          <w:sz w:val="24"/>
        </w:rPr>
      </w:pPr>
    </w:p>
    <w:p>
      <w:pPr>
        <w:spacing w:line="520" w:lineRule="exact"/>
        <w:ind w:firstLine="480" w:firstLineChars="200"/>
        <w:rPr>
          <w:rFonts w:ascii="宋体" w:hAnsi="宋体" w:cs="宋体"/>
          <w:color w:val="000000"/>
          <w:sz w:val="24"/>
        </w:rPr>
      </w:pPr>
      <w:r>
        <w:rPr>
          <w:rFonts w:hint="eastAsia" w:ascii="宋体" w:hAnsi="宋体" w:cs="宋体"/>
          <w:color w:val="000000"/>
          <w:sz w:val="24"/>
        </w:rPr>
        <w:t>我单位十分欢迎贵单位对招标采购组织工作提出宝贵意见和建议。电话：0519-83999568</w:t>
      </w:r>
    </w:p>
    <w:p>
      <w:pPr>
        <w:spacing w:line="520" w:lineRule="exact"/>
        <w:ind w:firstLine="480" w:firstLineChars="200"/>
        <w:rPr>
          <w:rFonts w:ascii="宋体" w:hAnsi="宋体" w:cs="宋体"/>
          <w:color w:val="000000"/>
          <w:sz w:val="24"/>
        </w:rPr>
      </w:pPr>
      <w:r>
        <w:rPr>
          <w:rFonts w:hint="eastAsia" w:ascii="宋体" w:hAnsi="宋体" w:cs="宋体"/>
          <w:color w:val="000000"/>
          <w:sz w:val="24"/>
        </w:rPr>
        <w:t>最后祝贵单位投标成功！</w:t>
      </w:r>
    </w:p>
    <w:p>
      <w:pPr>
        <w:spacing w:line="520" w:lineRule="exact"/>
        <w:rPr>
          <w:rFonts w:ascii="宋体" w:hAnsi="宋体" w:cs="宋体"/>
          <w:color w:val="000000"/>
          <w:sz w:val="24"/>
        </w:rPr>
      </w:pPr>
    </w:p>
    <w:p>
      <w:pPr>
        <w:spacing w:line="520" w:lineRule="exact"/>
        <w:jc w:val="center"/>
        <w:rPr>
          <w:rFonts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rPr>
          <w:rFonts w:ascii="宋体" w:hAnsi="宋体" w:cs="宋体"/>
        </w:rPr>
      </w:pPr>
      <w:r>
        <w:rPr>
          <w:rFonts w:hint="eastAsia" w:ascii="宋体" w:hAnsi="宋体" w:cs="宋体"/>
          <w:b/>
          <w:color w:val="000000"/>
          <w:sz w:val="32"/>
        </w:rPr>
        <w:t>（全文完）</w:t>
      </w:r>
    </w:p>
    <w:p/>
    <w:sectPr>
      <w:pgSz w:w="11906" w:h="16838"/>
      <w:pgMar w:top="1440" w:right="1440" w:bottom="1440" w:left="1440" w:header="851" w:footer="992" w:gutter="0"/>
      <w:cols w:space="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right" w:pos="8307"/>
        <w:tab w:val="clear" w:pos="8306"/>
      </w:tabs>
      <w:ind w:right="360" w:firstLine="360"/>
      <w:rPr>
        <w:rFonts w:ascii="仿宋_GB2312" w:hAnsi="宋体"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right" w:pos="8307"/>
                              <w:tab w:val="clear"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4"/>
                      <w:tabs>
                        <w:tab w:val="right" w:pos="8307"/>
                        <w:tab w:val="clear"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36</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sz w:val="20"/>
        <w:szCs w:val="20"/>
      </w:rPr>
    </w:pPr>
    <w:r>
      <w:rPr>
        <w:rFonts w:hint="eastAsia" w:ascii="宋体"/>
        <w:sz w:val="20"/>
        <w:szCs w:val="20"/>
      </w:rPr>
      <w:t>常州市恒卓建设工程管理咨询有限公司询价采购文件</w:t>
    </w:r>
  </w:p>
  <w:p>
    <w:pPr>
      <w:pStyle w:val="16"/>
      <w:pBdr>
        <w:bottom w:val="none" w:color="auto" w:sz="0" w:space="0"/>
      </w:pBdr>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FB497"/>
    <w:multiLevelType w:val="singleLevel"/>
    <w:tmpl w:val="9B5FB497"/>
    <w:lvl w:ilvl="0" w:tentative="0">
      <w:start w:val="1"/>
      <w:numFmt w:val="chineseCounting"/>
      <w:suff w:val="nothing"/>
      <w:lvlText w:val="%1、"/>
      <w:lvlJc w:val="left"/>
      <w:rPr>
        <w:rFonts w:hint="eastAsia"/>
      </w:rPr>
    </w:lvl>
  </w:abstractNum>
  <w:abstractNum w:abstractNumId="1">
    <w:nsid w:val="599CFB34"/>
    <w:multiLevelType w:val="singleLevel"/>
    <w:tmpl w:val="599CFB34"/>
    <w:lvl w:ilvl="0" w:tentative="0">
      <w:start w:val="5"/>
      <w:numFmt w:val="chineseCounting"/>
      <w:suff w:val="nothing"/>
      <w:lvlText w:val="%1、"/>
      <w:lvlJc w:val="left"/>
    </w:lvl>
  </w:abstractNum>
  <w:abstractNum w:abstractNumId="2">
    <w:nsid w:val="59CEF3CD"/>
    <w:multiLevelType w:val="singleLevel"/>
    <w:tmpl w:val="59CEF3CD"/>
    <w:lvl w:ilvl="0" w:tentative="0">
      <w:start w:val="2"/>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HorizontalSpacing w:val="105"/>
  <w:drawingGridVerticalSpacing w:val="163"/>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0C0"/>
    <w:rsid w:val="00017AF7"/>
    <w:rsid w:val="00020B95"/>
    <w:rsid w:val="000213CA"/>
    <w:rsid w:val="00022CA1"/>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94F31"/>
    <w:rsid w:val="000A3D42"/>
    <w:rsid w:val="000A65FB"/>
    <w:rsid w:val="000A7C8B"/>
    <w:rsid w:val="000A7F41"/>
    <w:rsid w:val="000B4FF8"/>
    <w:rsid w:val="000C0E1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770"/>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3F188B"/>
    <w:rsid w:val="004015D1"/>
    <w:rsid w:val="00404D95"/>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34C2"/>
    <w:rsid w:val="0046400A"/>
    <w:rsid w:val="004647B1"/>
    <w:rsid w:val="004654F5"/>
    <w:rsid w:val="004668AE"/>
    <w:rsid w:val="0047053D"/>
    <w:rsid w:val="004709CE"/>
    <w:rsid w:val="00471D63"/>
    <w:rsid w:val="00476F3B"/>
    <w:rsid w:val="004807D4"/>
    <w:rsid w:val="00486421"/>
    <w:rsid w:val="004952C7"/>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16E7"/>
    <w:rsid w:val="00671B9C"/>
    <w:rsid w:val="00674CBD"/>
    <w:rsid w:val="0067763B"/>
    <w:rsid w:val="006872DB"/>
    <w:rsid w:val="00692853"/>
    <w:rsid w:val="00692D46"/>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540FF"/>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301C8"/>
    <w:rsid w:val="00A3036B"/>
    <w:rsid w:val="00A30B2C"/>
    <w:rsid w:val="00A328BF"/>
    <w:rsid w:val="00A35429"/>
    <w:rsid w:val="00A44308"/>
    <w:rsid w:val="00A46197"/>
    <w:rsid w:val="00A520CF"/>
    <w:rsid w:val="00A52877"/>
    <w:rsid w:val="00A559BD"/>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247"/>
    <w:rsid w:val="00C43D29"/>
    <w:rsid w:val="00C52DA9"/>
    <w:rsid w:val="00C52F9C"/>
    <w:rsid w:val="00C55626"/>
    <w:rsid w:val="00C56321"/>
    <w:rsid w:val="00C60356"/>
    <w:rsid w:val="00C6101E"/>
    <w:rsid w:val="00C61FB9"/>
    <w:rsid w:val="00C70E66"/>
    <w:rsid w:val="00C73FEF"/>
    <w:rsid w:val="00C74BF2"/>
    <w:rsid w:val="00C76EF4"/>
    <w:rsid w:val="00C82710"/>
    <w:rsid w:val="00C86D64"/>
    <w:rsid w:val="00C91EFB"/>
    <w:rsid w:val="00CA2C8A"/>
    <w:rsid w:val="00CA3748"/>
    <w:rsid w:val="00CB07C5"/>
    <w:rsid w:val="00CB53BE"/>
    <w:rsid w:val="00CB58CF"/>
    <w:rsid w:val="00CB6DD4"/>
    <w:rsid w:val="00CC138F"/>
    <w:rsid w:val="00CC5B6A"/>
    <w:rsid w:val="00CD0AEE"/>
    <w:rsid w:val="00CD0E8E"/>
    <w:rsid w:val="00CD357A"/>
    <w:rsid w:val="00CD5C1A"/>
    <w:rsid w:val="00CD787B"/>
    <w:rsid w:val="00CE65CA"/>
    <w:rsid w:val="00CE71A7"/>
    <w:rsid w:val="00CE743E"/>
    <w:rsid w:val="00CE7B8A"/>
    <w:rsid w:val="00D001DD"/>
    <w:rsid w:val="00D1263B"/>
    <w:rsid w:val="00D22504"/>
    <w:rsid w:val="00D22FA1"/>
    <w:rsid w:val="00D25ABF"/>
    <w:rsid w:val="00D31D18"/>
    <w:rsid w:val="00D35C16"/>
    <w:rsid w:val="00D3687D"/>
    <w:rsid w:val="00D36E73"/>
    <w:rsid w:val="00D40F80"/>
    <w:rsid w:val="00D41538"/>
    <w:rsid w:val="00D530B6"/>
    <w:rsid w:val="00D640A7"/>
    <w:rsid w:val="00D6433F"/>
    <w:rsid w:val="00D656A3"/>
    <w:rsid w:val="00D66666"/>
    <w:rsid w:val="00D67A35"/>
    <w:rsid w:val="00D71391"/>
    <w:rsid w:val="00D72DB9"/>
    <w:rsid w:val="00D74ADC"/>
    <w:rsid w:val="00D75AE4"/>
    <w:rsid w:val="00D765A2"/>
    <w:rsid w:val="00D77081"/>
    <w:rsid w:val="00D772EB"/>
    <w:rsid w:val="00D77852"/>
    <w:rsid w:val="00D778C1"/>
    <w:rsid w:val="00D83488"/>
    <w:rsid w:val="00D84787"/>
    <w:rsid w:val="00D87E81"/>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64535"/>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2F84"/>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1BF6730"/>
    <w:rsid w:val="02123AD6"/>
    <w:rsid w:val="02431A7D"/>
    <w:rsid w:val="024636D4"/>
    <w:rsid w:val="028B5457"/>
    <w:rsid w:val="02A75CF9"/>
    <w:rsid w:val="032A7313"/>
    <w:rsid w:val="0380434E"/>
    <w:rsid w:val="03832A08"/>
    <w:rsid w:val="03B17691"/>
    <w:rsid w:val="03BB09EB"/>
    <w:rsid w:val="03BE5D3A"/>
    <w:rsid w:val="03C60B66"/>
    <w:rsid w:val="03D3645E"/>
    <w:rsid w:val="03F842E2"/>
    <w:rsid w:val="041D362B"/>
    <w:rsid w:val="047400C6"/>
    <w:rsid w:val="05060F28"/>
    <w:rsid w:val="05096B07"/>
    <w:rsid w:val="053A514B"/>
    <w:rsid w:val="053B7608"/>
    <w:rsid w:val="05A263D4"/>
    <w:rsid w:val="05E568AC"/>
    <w:rsid w:val="06497727"/>
    <w:rsid w:val="06657CAB"/>
    <w:rsid w:val="068621B7"/>
    <w:rsid w:val="06F34CAC"/>
    <w:rsid w:val="0795497D"/>
    <w:rsid w:val="07AD2313"/>
    <w:rsid w:val="07C4574A"/>
    <w:rsid w:val="07D4164E"/>
    <w:rsid w:val="083F4047"/>
    <w:rsid w:val="087D3C9D"/>
    <w:rsid w:val="089D4B60"/>
    <w:rsid w:val="08BF2A47"/>
    <w:rsid w:val="097D2390"/>
    <w:rsid w:val="09B74D83"/>
    <w:rsid w:val="09C54A15"/>
    <w:rsid w:val="0A5F0236"/>
    <w:rsid w:val="0A6F00E2"/>
    <w:rsid w:val="0A731B76"/>
    <w:rsid w:val="0A8F3F52"/>
    <w:rsid w:val="0AA64BCB"/>
    <w:rsid w:val="0ABE08B4"/>
    <w:rsid w:val="0AE61DC4"/>
    <w:rsid w:val="0B4A526A"/>
    <w:rsid w:val="0BA010B5"/>
    <w:rsid w:val="0BA93AA3"/>
    <w:rsid w:val="0BBC2635"/>
    <w:rsid w:val="0BBE689D"/>
    <w:rsid w:val="0C17625F"/>
    <w:rsid w:val="0C566B3E"/>
    <w:rsid w:val="0D541C42"/>
    <w:rsid w:val="0D8E04F1"/>
    <w:rsid w:val="0DC94207"/>
    <w:rsid w:val="0E0535F5"/>
    <w:rsid w:val="0E437964"/>
    <w:rsid w:val="0E4C6257"/>
    <w:rsid w:val="0E963B01"/>
    <w:rsid w:val="0ED94B43"/>
    <w:rsid w:val="0F414D68"/>
    <w:rsid w:val="0F447E11"/>
    <w:rsid w:val="0F4E64F0"/>
    <w:rsid w:val="0F5D37DE"/>
    <w:rsid w:val="10442408"/>
    <w:rsid w:val="10710382"/>
    <w:rsid w:val="107A3EA9"/>
    <w:rsid w:val="108F3F0F"/>
    <w:rsid w:val="10CE41C2"/>
    <w:rsid w:val="1125147F"/>
    <w:rsid w:val="1129635C"/>
    <w:rsid w:val="112B6D22"/>
    <w:rsid w:val="1188442E"/>
    <w:rsid w:val="122709C8"/>
    <w:rsid w:val="12811990"/>
    <w:rsid w:val="12A14823"/>
    <w:rsid w:val="12C53A89"/>
    <w:rsid w:val="12E666D9"/>
    <w:rsid w:val="13030AD0"/>
    <w:rsid w:val="13A50343"/>
    <w:rsid w:val="13AE5449"/>
    <w:rsid w:val="13B86C23"/>
    <w:rsid w:val="13D90051"/>
    <w:rsid w:val="14131E94"/>
    <w:rsid w:val="144B713C"/>
    <w:rsid w:val="14904384"/>
    <w:rsid w:val="14A9209E"/>
    <w:rsid w:val="14C56255"/>
    <w:rsid w:val="156347D8"/>
    <w:rsid w:val="157265ED"/>
    <w:rsid w:val="15B94248"/>
    <w:rsid w:val="161A46DC"/>
    <w:rsid w:val="16404C60"/>
    <w:rsid w:val="164125A5"/>
    <w:rsid w:val="166C55C5"/>
    <w:rsid w:val="16935C60"/>
    <w:rsid w:val="16A879C0"/>
    <w:rsid w:val="16CB2C00"/>
    <w:rsid w:val="170F161A"/>
    <w:rsid w:val="17D54719"/>
    <w:rsid w:val="17E859EA"/>
    <w:rsid w:val="185527C3"/>
    <w:rsid w:val="1865462D"/>
    <w:rsid w:val="187F0613"/>
    <w:rsid w:val="18820C52"/>
    <w:rsid w:val="18BB48F6"/>
    <w:rsid w:val="18D83724"/>
    <w:rsid w:val="18DF60A5"/>
    <w:rsid w:val="190E59AB"/>
    <w:rsid w:val="199A77CA"/>
    <w:rsid w:val="19BC44F3"/>
    <w:rsid w:val="19C5647F"/>
    <w:rsid w:val="1A0D01EE"/>
    <w:rsid w:val="1A1D74FC"/>
    <w:rsid w:val="1A375B0A"/>
    <w:rsid w:val="1A4408B5"/>
    <w:rsid w:val="1A8579EE"/>
    <w:rsid w:val="1ACD723D"/>
    <w:rsid w:val="1AEA2550"/>
    <w:rsid w:val="1BA90DF4"/>
    <w:rsid w:val="1BB76E65"/>
    <w:rsid w:val="1BCD0437"/>
    <w:rsid w:val="1C014A15"/>
    <w:rsid w:val="1C697720"/>
    <w:rsid w:val="1C9C03FD"/>
    <w:rsid w:val="1CAA546D"/>
    <w:rsid w:val="1CCF3068"/>
    <w:rsid w:val="1CEC53DC"/>
    <w:rsid w:val="1D0E6F59"/>
    <w:rsid w:val="1D552DD9"/>
    <w:rsid w:val="1D7E5E8C"/>
    <w:rsid w:val="1D9B3C57"/>
    <w:rsid w:val="1D9B6720"/>
    <w:rsid w:val="1DCD2FAD"/>
    <w:rsid w:val="1DD957B9"/>
    <w:rsid w:val="1E1D28C5"/>
    <w:rsid w:val="1EB853CE"/>
    <w:rsid w:val="1EFD1033"/>
    <w:rsid w:val="1F271A4D"/>
    <w:rsid w:val="1F63739D"/>
    <w:rsid w:val="1FD004F5"/>
    <w:rsid w:val="1FEF4E1F"/>
    <w:rsid w:val="201725C8"/>
    <w:rsid w:val="20347594"/>
    <w:rsid w:val="20432BA3"/>
    <w:rsid w:val="20D10916"/>
    <w:rsid w:val="21940529"/>
    <w:rsid w:val="21A8797C"/>
    <w:rsid w:val="21BA346A"/>
    <w:rsid w:val="21D36124"/>
    <w:rsid w:val="22360547"/>
    <w:rsid w:val="22657663"/>
    <w:rsid w:val="22900C5B"/>
    <w:rsid w:val="22A01AE8"/>
    <w:rsid w:val="22BD5CA4"/>
    <w:rsid w:val="22C46731"/>
    <w:rsid w:val="22F551A2"/>
    <w:rsid w:val="22F63B66"/>
    <w:rsid w:val="22FC6550"/>
    <w:rsid w:val="231C01D1"/>
    <w:rsid w:val="233D4DA9"/>
    <w:rsid w:val="238443FE"/>
    <w:rsid w:val="23A726AF"/>
    <w:rsid w:val="23E66539"/>
    <w:rsid w:val="24323C3C"/>
    <w:rsid w:val="24661428"/>
    <w:rsid w:val="24A15491"/>
    <w:rsid w:val="24DC1FA2"/>
    <w:rsid w:val="25290DD3"/>
    <w:rsid w:val="26912BBE"/>
    <w:rsid w:val="271D4C6D"/>
    <w:rsid w:val="27601A2C"/>
    <w:rsid w:val="27764D2D"/>
    <w:rsid w:val="27930786"/>
    <w:rsid w:val="27B15219"/>
    <w:rsid w:val="27B2767A"/>
    <w:rsid w:val="27F5609D"/>
    <w:rsid w:val="281207F5"/>
    <w:rsid w:val="296A5176"/>
    <w:rsid w:val="29CE5107"/>
    <w:rsid w:val="29D27E76"/>
    <w:rsid w:val="2A1A2880"/>
    <w:rsid w:val="2A202079"/>
    <w:rsid w:val="2A5709DD"/>
    <w:rsid w:val="2AC17609"/>
    <w:rsid w:val="2AED3CD8"/>
    <w:rsid w:val="2B644051"/>
    <w:rsid w:val="2BA54637"/>
    <w:rsid w:val="2BD001FB"/>
    <w:rsid w:val="2BE05F64"/>
    <w:rsid w:val="2C375068"/>
    <w:rsid w:val="2C840380"/>
    <w:rsid w:val="2CFF5BF9"/>
    <w:rsid w:val="2D1E2F21"/>
    <w:rsid w:val="2D227891"/>
    <w:rsid w:val="2D2E3A18"/>
    <w:rsid w:val="2D3543F5"/>
    <w:rsid w:val="2D9C277F"/>
    <w:rsid w:val="2DFF6B75"/>
    <w:rsid w:val="2E4A44E1"/>
    <w:rsid w:val="2E505623"/>
    <w:rsid w:val="2E9C3D58"/>
    <w:rsid w:val="2EAE3B92"/>
    <w:rsid w:val="2F0B32CB"/>
    <w:rsid w:val="2F566C69"/>
    <w:rsid w:val="2FD35FE0"/>
    <w:rsid w:val="3022643B"/>
    <w:rsid w:val="304F76C5"/>
    <w:rsid w:val="306F2500"/>
    <w:rsid w:val="307F7CD3"/>
    <w:rsid w:val="30901D07"/>
    <w:rsid w:val="309915E1"/>
    <w:rsid w:val="311F283C"/>
    <w:rsid w:val="31E81F78"/>
    <w:rsid w:val="31F273BA"/>
    <w:rsid w:val="323679C5"/>
    <w:rsid w:val="32D61927"/>
    <w:rsid w:val="330B32C9"/>
    <w:rsid w:val="337D73C7"/>
    <w:rsid w:val="33BD403F"/>
    <w:rsid w:val="33D4745C"/>
    <w:rsid w:val="342A06C4"/>
    <w:rsid w:val="34E2510D"/>
    <w:rsid w:val="34FC5D1A"/>
    <w:rsid w:val="356579C5"/>
    <w:rsid w:val="35844D64"/>
    <w:rsid w:val="35B14E4E"/>
    <w:rsid w:val="35D00D13"/>
    <w:rsid w:val="35D816B9"/>
    <w:rsid w:val="36552126"/>
    <w:rsid w:val="368F5199"/>
    <w:rsid w:val="3699454E"/>
    <w:rsid w:val="36B77D65"/>
    <w:rsid w:val="374266BE"/>
    <w:rsid w:val="375A4BA5"/>
    <w:rsid w:val="37B165D2"/>
    <w:rsid w:val="38270559"/>
    <w:rsid w:val="383B4C4E"/>
    <w:rsid w:val="387263A8"/>
    <w:rsid w:val="38F82E30"/>
    <w:rsid w:val="39401044"/>
    <w:rsid w:val="39464EC6"/>
    <w:rsid w:val="39680CF0"/>
    <w:rsid w:val="39AC7EF3"/>
    <w:rsid w:val="3A0C5A97"/>
    <w:rsid w:val="3A3E0663"/>
    <w:rsid w:val="3AFA2E82"/>
    <w:rsid w:val="3B4E4304"/>
    <w:rsid w:val="3B7B7CB3"/>
    <w:rsid w:val="3BEF76A2"/>
    <w:rsid w:val="3C1A31C4"/>
    <w:rsid w:val="3C4827A3"/>
    <w:rsid w:val="3CBF505A"/>
    <w:rsid w:val="3CDE3DFA"/>
    <w:rsid w:val="3CFD4C82"/>
    <w:rsid w:val="3D670774"/>
    <w:rsid w:val="3D7820D7"/>
    <w:rsid w:val="3D895565"/>
    <w:rsid w:val="3DE360A4"/>
    <w:rsid w:val="3DF6156D"/>
    <w:rsid w:val="3E3C6B9A"/>
    <w:rsid w:val="3E8C5742"/>
    <w:rsid w:val="3EBA50EC"/>
    <w:rsid w:val="3EC24051"/>
    <w:rsid w:val="3F566814"/>
    <w:rsid w:val="3F624AC3"/>
    <w:rsid w:val="3F8F2819"/>
    <w:rsid w:val="3F9B273C"/>
    <w:rsid w:val="3F9B565A"/>
    <w:rsid w:val="3FB05DD8"/>
    <w:rsid w:val="3FD17791"/>
    <w:rsid w:val="404B6E8B"/>
    <w:rsid w:val="408667A7"/>
    <w:rsid w:val="40CF697E"/>
    <w:rsid w:val="41123129"/>
    <w:rsid w:val="41594CA8"/>
    <w:rsid w:val="41664509"/>
    <w:rsid w:val="41815748"/>
    <w:rsid w:val="41A41AB6"/>
    <w:rsid w:val="42193413"/>
    <w:rsid w:val="423D3DD4"/>
    <w:rsid w:val="42514CC7"/>
    <w:rsid w:val="42EE1C67"/>
    <w:rsid w:val="42FD67B1"/>
    <w:rsid w:val="43082A83"/>
    <w:rsid w:val="434F77FF"/>
    <w:rsid w:val="437A27BF"/>
    <w:rsid w:val="43CC0E50"/>
    <w:rsid w:val="440403EA"/>
    <w:rsid w:val="4404683C"/>
    <w:rsid w:val="445E7E48"/>
    <w:rsid w:val="447C2876"/>
    <w:rsid w:val="45156827"/>
    <w:rsid w:val="456C5AAB"/>
    <w:rsid w:val="456D41B9"/>
    <w:rsid w:val="4588061E"/>
    <w:rsid w:val="458B6335"/>
    <w:rsid w:val="459250C4"/>
    <w:rsid w:val="45F25F2A"/>
    <w:rsid w:val="45FE1CA7"/>
    <w:rsid w:val="464078D3"/>
    <w:rsid w:val="468052EC"/>
    <w:rsid w:val="46BB75DF"/>
    <w:rsid w:val="46BC3F7B"/>
    <w:rsid w:val="46DA6011"/>
    <w:rsid w:val="47033812"/>
    <w:rsid w:val="472B4CB7"/>
    <w:rsid w:val="477D0C08"/>
    <w:rsid w:val="486C5F17"/>
    <w:rsid w:val="48767C88"/>
    <w:rsid w:val="487D02F7"/>
    <w:rsid w:val="48832410"/>
    <w:rsid w:val="489A04F4"/>
    <w:rsid w:val="489B6B8C"/>
    <w:rsid w:val="489F766D"/>
    <w:rsid w:val="48EE6F6A"/>
    <w:rsid w:val="48F408B2"/>
    <w:rsid w:val="4903273F"/>
    <w:rsid w:val="491F6C60"/>
    <w:rsid w:val="49215A77"/>
    <w:rsid w:val="499E628F"/>
    <w:rsid w:val="4A1214FC"/>
    <w:rsid w:val="4A2A2595"/>
    <w:rsid w:val="4A57313D"/>
    <w:rsid w:val="4AA31FD4"/>
    <w:rsid w:val="4ABB0832"/>
    <w:rsid w:val="4AF179D1"/>
    <w:rsid w:val="4B210CAF"/>
    <w:rsid w:val="4B68727B"/>
    <w:rsid w:val="4B964438"/>
    <w:rsid w:val="4BBF56F2"/>
    <w:rsid w:val="4BC314E0"/>
    <w:rsid w:val="4C684DA8"/>
    <w:rsid w:val="4DA04239"/>
    <w:rsid w:val="4E583A53"/>
    <w:rsid w:val="4E617532"/>
    <w:rsid w:val="4EBE304F"/>
    <w:rsid w:val="4F36328E"/>
    <w:rsid w:val="4F4D2F87"/>
    <w:rsid w:val="4F540802"/>
    <w:rsid w:val="4FC32472"/>
    <w:rsid w:val="4FCF4407"/>
    <w:rsid w:val="501F64DD"/>
    <w:rsid w:val="505216FF"/>
    <w:rsid w:val="508A49AE"/>
    <w:rsid w:val="51633377"/>
    <w:rsid w:val="5170086A"/>
    <w:rsid w:val="51C27291"/>
    <w:rsid w:val="523E643C"/>
    <w:rsid w:val="528905B7"/>
    <w:rsid w:val="52913978"/>
    <w:rsid w:val="533313F7"/>
    <w:rsid w:val="537F451C"/>
    <w:rsid w:val="53C9075E"/>
    <w:rsid w:val="544571FC"/>
    <w:rsid w:val="54F15B76"/>
    <w:rsid w:val="54FA4C71"/>
    <w:rsid w:val="54FC424B"/>
    <w:rsid w:val="552D63F6"/>
    <w:rsid w:val="555E799E"/>
    <w:rsid w:val="55DF782F"/>
    <w:rsid w:val="56170AED"/>
    <w:rsid w:val="568B4B9B"/>
    <w:rsid w:val="56A21D16"/>
    <w:rsid w:val="56FF2E93"/>
    <w:rsid w:val="57733D47"/>
    <w:rsid w:val="589046EA"/>
    <w:rsid w:val="58CD1075"/>
    <w:rsid w:val="58E60627"/>
    <w:rsid w:val="58E80A23"/>
    <w:rsid w:val="59263585"/>
    <w:rsid w:val="594268F6"/>
    <w:rsid w:val="596B529F"/>
    <w:rsid w:val="59CD5810"/>
    <w:rsid w:val="59DB7BE7"/>
    <w:rsid w:val="59F82BC3"/>
    <w:rsid w:val="5A3211AE"/>
    <w:rsid w:val="5A405C9C"/>
    <w:rsid w:val="5A7C457D"/>
    <w:rsid w:val="5A802DFF"/>
    <w:rsid w:val="5AAB0C22"/>
    <w:rsid w:val="5ABF4E13"/>
    <w:rsid w:val="5AD13A82"/>
    <w:rsid w:val="5ADF3F7B"/>
    <w:rsid w:val="5AF62B85"/>
    <w:rsid w:val="5B030F22"/>
    <w:rsid w:val="5B75533C"/>
    <w:rsid w:val="5BB41A6A"/>
    <w:rsid w:val="5BC477BE"/>
    <w:rsid w:val="5BCB0D02"/>
    <w:rsid w:val="5BDF283A"/>
    <w:rsid w:val="5BE016BE"/>
    <w:rsid w:val="5BE74A3F"/>
    <w:rsid w:val="5C53579B"/>
    <w:rsid w:val="5C82434A"/>
    <w:rsid w:val="5CAE25A3"/>
    <w:rsid w:val="5DBB5D65"/>
    <w:rsid w:val="5DDD7D4F"/>
    <w:rsid w:val="5E0B5EBF"/>
    <w:rsid w:val="5E5149F4"/>
    <w:rsid w:val="5E8F18FE"/>
    <w:rsid w:val="5EB5689D"/>
    <w:rsid w:val="5EE4309A"/>
    <w:rsid w:val="5F357D99"/>
    <w:rsid w:val="5F421E70"/>
    <w:rsid w:val="5F8D06B3"/>
    <w:rsid w:val="5F9767C2"/>
    <w:rsid w:val="5FE601D0"/>
    <w:rsid w:val="605D3104"/>
    <w:rsid w:val="60AE79BA"/>
    <w:rsid w:val="61B3144F"/>
    <w:rsid w:val="61ED1D9D"/>
    <w:rsid w:val="621906A1"/>
    <w:rsid w:val="62223DE6"/>
    <w:rsid w:val="625F2EF1"/>
    <w:rsid w:val="62715700"/>
    <w:rsid w:val="62D7276E"/>
    <w:rsid w:val="638C5AAE"/>
    <w:rsid w:val="63D23CF5"/>
    <w:rsid w:val="63F43D7F"/>
    <w:rsid w:val="640041D3"/>
    <w:rsid w:val="641969E9"/>
    <w:rsid w:val="64592443"/>
    <w:rsid w:val="64836EB1"/>
    <w:rsid w:val="64BC3253"/>
    <w:rsid w:val="64FD4EB5"/>
    <w:rsid w:val="658E3D60"/>
    <w:rsid w:val="65BD383A"/>
    <w:rsid w:val="65BE4BDE"/>
    <w:rsid w:val="65ED4564"/>
    <w:rsid w:val="65FF07B9"/>
    <w:rsid w:val="66277389"/>
    <w:rsid w:val="663A4273"/>
    <w:rsid w:val="66477750"/>
    <w:rsid w:val="66AD470D"/>
    <w:rsid w:val="66EB7D79"/>
    <w:rsid w:val="66FC6213"/>
    <w:rsid w:val="671C21CB"/>
    <w:rsid w:val="674A63AC"/>
    <w:rsid w:val="676E38BA"/>
    <w:rsid w:val="67821B22"/>
    <w:rsid w:val="678E2E09"/>
    <w:rsid w:val="67B06C49"/>
    <w:rsid w:val="67C618F1"/>
    <w:rsid w:val="67F11B34"/>
    <w:rsid w:val="682D7F1E"/>
    <w:rsid w:val="682F205A"/>
    <w:rsid w:val="688334C4"/>
    <w:rsid w:val="69542F02"/>
    <w:rsid w:val="695B21AB"/>
    <w:rsid w:val="699E7EEC"/>
    <w:rsid w:val="69AB0FA4"/>
    <w:rsid w:val="69B03BA8"/>
    <w:rsid w:val="69DA7573"/>
    <w:rsid w:val="6A2D08A0"/>
    <w:rsid w:val="6A3550F2"/>
    <w:rsid w:val="6A9839F8"/>
    <w:rsid w:val="6AFF7146"/>
    <w:rsid w:val="6B2D7A85"/>
    <w:rsid w:val="6B33683F"/>
    <w:rsid w:val="6B8E29AA"/>
    <w:rsid w:val="6C264CF2"/>
    <w:rsid w:val="6C301C79"/>
    <w:rsid w:val="6C392B7B"/>
    <w:rsid w:val="6C9F4AA4"/>
    <w:rsid w:val="6CB100E7"/>
    <w:rsid w:val="6CBC11B2"/>
    <w:rsid w:val="6D4E5DC0"/>
    <w:rsid w:val="6D770380"/>
    <w:rsid w:val="6D7F71A8"/>
    <w:rsid w:val="6D93000A"/>
    <w:rsid w:val="6DBA7A98"/>
    <w:rsid w:val="6DBB7FED"/>
    <w:rsid w:val="6DE500A2"/>
    <w:rsid w:val="6E2E4332"/>
    <w:rsid w:val="6E341DD0"/>
    <w:rsid w:val="6E5B0E06"/>
    <w:rsid w:val="6E5B22EB"/>
    <w:rsid w:val="6E6A3CEA"/>
    <w:rsid w:val="6E731D44"/>
    <w:rsid w:val="6F3413A6"/>
    <w:rsid w:val="6F3D536C"/>
    <w:rsid w:val="6F581AE2"/>
    <w:rsid w:val="6F973D9C"/>
    <w:rsid w:val="6FC40194"/>
    <w:rsid w:val="6FDC74F9"/>
    <w:rsid w:val="6FF86747"/>
    <w:rsid w:val="700522CC"/>
    <w:rsid w:val="70465CE6"/>
    <w:rsid w:val="711201B3"/>
    <w:rsid w:val="71296110"/>
    <w:rsid w:val="71404A08"/>
    <w:rsid w:val="71AC5D26"/>
    <w:rsid w:val="71C35211"/>
    <w:rsid w:val="721A2F83"/>
    <w:rsid w:val="722E1DED"/>
    <w:rsid w:val="72374797"/>
    <w:rsid w:val="72C64CE3"/>
    <w:rsid w:val="733028FA"/>
    <w:rsid w:val="738C633D"/>
    <w:rsid w:val="73E42338"/>
    <w:rsid w:val="74640AAD"/>
    <w:rsid w:val="74F82289"/>
    <w:rsid w:val="75043042"/>
    <w:rsid w:val="75115ED5"/>
    <w:rsid w:val="754C038C"/>
    <w:rsid w:val="75541000"/>
    <w:rsid w:val="756155F2"/>
    <w:rsid w:val="756D1A2D"/>
    <w:rsid w:val="762A6956"/>
    <w:rsid w:val="767D459E"/>
    <w:rsid w:val="769F3946"/>
    <w:rsid w:val="76B43CF5"/>
    <w:rsid w:val="76CD2DB9"/>
    <w:rsid w:val="771B5705"/>
    <w:rsid w:val="77660698"/>
    <w:rsid w:val="777953BA"/>
    <w:rsid w:val="779F1DFC"/>
    <w:rsid w:val="782347DB"/>
    <w:rsid w:val="7827017C"/>
    <w:rsid w:val="784D5ECF"/>
    <w:rsid w:val="79032394"/>
    <w:rsid w:val="793B2638"/>
    <w:rsid w:val="795953D2"/>
    <w:rsid w:val="79940EF9"/>
    <w:rsid w:val="79A65581"/>
    <w:rsid w:val="79B1321F"/>
    <w:rsid w:val="79B87E6E"/>
    <w:rsid w:val="79CB6289"/>
    <w:rsid w:val="79CE6FB8"/>
    <w:rsid w:val="7A296E90"/>
    <w:rsid w:val="7A682025"/>
    <w:rsid w:val="7B3F7B7E"/>
    <w:rsid w:val="7BA37EA7"/>
    <w:rsid w:val="7C09226E"/>
    <w:rsid w:val="7C150BA0"/>
    <w:rsid w:val="7C217284"/>
    <w:rsid w:val="7C341A64"/>
    <w:rsid w:val="7C4B4301"/>
    <w:rsid w:val="7C6929D9"/>
    <w:rsid w:val="7CBB77F6"/>
    <w:rsid w:val="7CE406AC"/>
    <w:rsid w:val="7CE83E99"/>
    <w:rsid w:val="7D3B4375"/>
    <w:rsid w:val="7D554915"/>
    <w:rsid w:val="7D8F021D"/>
    <w:rsid w:val="7DA0004D"/>
    <w:rsid w:val="7DBD2C9F"/>
    <w:rsid w:val="7DFD60A2"/>
    <w:rsid w:val="7E14458D"/>
    <w:rsid w:val="7E2D1F10"/>
    <w:rsid w:val="7E3D2CE1"/>
    <w:rsid w:val="7E6671D0"/>
    <w:rsid w:val="7E87759B"/>
    <w:rsid w:val="7EA700ED"/>
    <w:rsid w:val="7ECC7D7E"/>
    <w:rsid w:val="7F1363F7"/>
    <w:rsid w:val="7F17671C"/>
    <w:rsid w:val="7FA363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jc w:val="center"/>
      <w:outlineLvl w:val="0"/>
    </w:pPr>
    <w:rPr>
      <w:rFonts w:ascii="黑体" w:eastAsia="黑体"/>
      <w:sz w:val="5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qFormat/>
    <w:uiPriority w:val="0"/>
    <w:pPr>
      <w:spacing w:line="200" w:lineRule="exact"/>
      <w:ind w:firstLine="301"/>
    </w:pPr>
    <w:rPr>
      <w:rFonts w:ascii="宋体" w:hAnsi="Courier New"/>
      <w:spacing w:val="-4"/>
      <w:sz w:val="18"/>
      <w:szCs w:val="20"/>
    </w:rPr>
  </w:style>
  <w:style w:type="paragraph" w:styleId="5">
    <w:name w:val="Normal Indent"/>
    <w:basedOn w:val="1"/>
    <w:next w:val="1"/>
    <w:qFormat/>
    <w:uiPriority w:val="0"/>
    <w:pPr>
      <w:autoSpaceDE w:val="0"/>
      <w:autoSpaceDN w:val="0"/>
      <w:adjustRightInd w:val="0"/>
      <w:ind w:firstLine="420"/>
    </w:pPr>
    <w:rPr>
      <w:rFonts w:ascii="宋体"/>
      <w:sz w:val="24"/>
    </w:rPr>
  </w:style>
  <w:style w:type="paragraph" w:styleId="6">
    <w:name w:val="Document Map"/>
    <w:basedOn w:val="1"/>
    <w:next w:val="1"/>
    <w:link w:val="57"/>
    <w:qFormat/>
    <w:uiPriority w:val="0"/>
    <w:rPr>
      <w:rFonts w:ascii="宋体"/>
      <w:sz w:val="18"/>
      <w:szCs w:val="18"/>
    </w:rPr>
  </w:style>
  <w:style w:type="paragraph" w:styleId="7">
    <w:name w:val="annotation text"/>
    <w:basedOn w:val="1"/>
    <w:link w:val="50"/>
    <w:qFormat/>
    <w:uiPriority w:val="0"/>
    <w:pPr>
      <w:jc w:val="left"/>
    </w:pPr>
  </w:style>
  <w:style w:type="paragraph" w:styleId="8">
    <w:name w:val="Body Text"/>
    <w:basedOn w:val="1"/>
    <w:next w:val="1"/>
    <w:qFormat/>
    <w:uiPriority w:val="0"/>
    <w:pPr>
      <w:spacing w:after="120"/>
    </w:pPr>
  </w:style>
  <w:style w:type="paragraph" w:styleId="9">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0">
    <w:name w:val="Plain Text"/>
    <w:basedOn w:val="1"/>
    <w:next w:val="5"/>
    <w:link w:val="55"/>
    <w:qFormat/>
    <w:uiPriority w:val="0"/>
    <w:rPr>
      <w:rFonts w:ascii="宋体" w:hAnsi="Courier New" w:cs="Courier New"/>
      <w:szCs w:val="21"/>
    </w:rPr>
  </w:style>
  <w:style w:type="paragraph" w:styleId="11">
    <w:name w:val="Date"/>
    <w:basedOn w:val="1"/>
    <w:next w:val="1"/>
    <w:qFormat/>
    <w:uiPriority w:val="0"/>
    <w:rPr>
      <w:rFonts w:ascii="宋体" w:hAnsi="宋体"/>
      <w:sz w:val="24"/>
    </w:rPr>
  </w:style>
  <w:style w:type="paragraph" w:styleId="12">
    <w:name w:val="Body Text Indent 2"/>
    <w:basedOn w:val="1"/>
    <w:link w:val="43"/>
    <w:qFormat/>
    <w:uiPriority w:val="0"/>
    <w:pPr>
      <w:spacing w:after="120" w:line="480" w:lineRule="auto"/>
      <w:ind w:left="420" w:leftChars="2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envelope return"/>
    <w:basedOn w:val="1"/>
    <w:next w:val="1"/>
    <w:qFormat/>
    <w:uiPriority w:val="0"/>
    <w:pPr>
      <w:snapToGrid w:val="0"/>
      <w:jc w:val="center"/>
    </w:pPr>
    <w:rPr>
      <w:sz w:val="24"/>
    </w:rPr>
  </w:style>
  <w:style w:type="paragraph" w:styleId="16">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b/>
      <w:bCs/>
      <w:caps/>
      <w:sz w:val="20"/>
      <w:szCs w:val="20"/>
    </w:rPr>
  </w:style>
  <w:style w:type="paragraph" w:styleId="18">
    <w:name w:val="toc 4"/>
    <w:basedOn w:val="1"/>
    <w:next w:val="1"/>
    <w:qFormat/>
    <w:uiPriority w:val="0"/>
    <w:pPr>
      <w:ind w:left="1260"/>
    </w:p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annotation subject"/>
    <w:basedOn w:val="7"/>
    <w:next w:val="7"/>
    <w:link w:val="53"/>
    <w:qFormat/>
    <w:uiPriority w:val="0"/>
    <w:rPr>
      <w:b/>
      <w:bCs/>
    </w:rPr>
  </w:style>
  <w:style w:type="paragraph" w:styleId="21">
    <w:name w:val="Body Text First Indent 2"/>
    <w:basedOn w:val="1"/>
    <w:next w:val="1"/>
    <w:qFormat/>
    <w:uiPriority w:val="0"/>
    <w:pPr>
      <w:ind w:firstLine="420"/>
    </w:pPr>
  </w:style>
  <w:style w:type="table" w:styleId="23">
    <w:name w:val="Table Grid"/>
    <w:basedOn w:val="2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style>
  <w:style w:type="character" w:styleId="30">
    <w:name w:val="HTML Acronym"/>
    <w:basedOn w:val="24"/>
    <w:qFormat/>
    <w:uiPriority w:val="0"/>
  </w:style>
  <w:style w:type="character" w:styleId="31">
    <w:name w:val="HTML Variable"/>
    <w:basedOn w:val="24"/>
    <w:qFormat/>
    <w:uiPriority w:val="0"/>
  </w:style>
  <w:style w:type="character" w:styleId="32">
    <w:name w:val="Hyperlink"/>
    <w:qFormat/>
    <w:uiPriority w:val="0"/>
    <w:rPr>
      <w:color w:val="000000"/>
      <w:u w:val="none"/>
    </w:rPr>
  </w:style>
  <w:style w:type="character" w:styleId="33">
    <w:name w:val="HTML Code"/>
    <w:basedOn w:val="24"/>
    <w:qFormat/>
    <w:uiPriority w:val="0"/>
    <w:rPr>
      <w:rFonts w:ascii="Courier New" w:hAnsi="Courier New"/>
      <w:sz w:val="20"/>
    </w:rPr>
  </w:style>
  <w:style w:type="character" w:styleId="34">
    <w:name w:val="annotation reference"/>
    <w:basedOn w:val="24"/>
    <w:qFormat/>
    <w:uiPriority w:val="0"/>
    <w:rPr>
      <w:sz w:val="21"/>
      <w:szCs w:val="21"/>
    </w:rPr>
  </w:style>
  <w:style w:type="character" w:styleId="35">
    <w:name w:val="HTML Cite"/>
    <w:basedOn w:val="24"/>
    <w:qFormat/>
    <w:uiPriority w:val="0"/>
  </w:style>
  <w:style w:type="paragraph" w:customStyle="1" w:styleId="36">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7">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8">
    <w:name w:val="font61"/>
    <w:basedOn w:val="24"/>
    <w:qFormat/>
    <w:uiPriority w:val="0"/>
    <w:rPr>
      <w:rFonts w:hint="eastAsia" w:ascii="宋体" w:hAnsi="宋体" w:eastAsia="宋体" w:cs="宋体"/>
      <w:b/>
      <w:color w:val="000000"/>
      <w:sz w:val="24"/>
      <w:szCs w:val="24"/>
      <w:u w:val="none"/>
    </w:rPr>
  </w:style>
  <w:style w:type="character" w:customStyle="1" w:styleId="39">
    <w:name w:val="font11"/>
    <w:basedOn w:val="24"/>
    <w:qFormat/>
    <w:uiPriority w:val="0"/>
    <w:rPr>
      <w:rFonts w:hint="default" w:ascii="Arial" w:hAnsi="Arial" w:cs="Arial"/>
      <w:color w:val="FF0000"/>
      <w:sz w:val="20"/>
      <w:szCs w:val="20"/>
      <w:u w:val="none"/>
    </w:rPr>
  </w:style>
  <w:style w:type="character" w:customStyle="1" w:styleId="40">
    <w:name w:val="font01"/>
    <w:basedOn w:val="24"/>
    <w:qFormat/>
    <w:uiPriority w:val="0"/>
    <w:rPr>
      <w:rFonts w:hint="default" w:ascii="Arial" w:hAnsi="Arial" w:cs="Arial"/>
      <w:color w:val="000000"/>
      <w:sz w:val="20"/>
      <w:szCs w:val="20"/>
      <w:u w:val="none"/>
    </w:rPr>
  </w:style>
  <w:style w:type="character" w:customStyle="1" w:styleId="41">
    <w:name w:val="font51"/>
    <w:basedOn w:val="24"/>
    <w:qFormat/>
    <w:uiPriority w:val="0"/>
    <w:rPr>
      <w:rFonts w:hint="eastAsia" w:ascii="宋体" w:hAnsi="宋体" w:eastAsia="宋体" w:cs="宋体"/>
      <w:color w:val="FF0000"/>
      <w:sz w:val="20"/>
      <w:szCs w:val="20"/>
      <w:u w:val="none"/>
    </w:rPr>
  </w:style>
  <w:style w:type="character" w:customStyle="1" w:styleId="42">
    <w:name w:val="font31"/>
    <w:basedOn w:val="24"/>
    <w:qFormat/>
    <w:uiPriority w:val="0"/>
    <w:rPr>
      <w:rFonts w:hint="eastAsia" w:ascii="宋体" w:hAnsi="宋体" w:eastAsia="宋体" w:cs="宋体"/>
      <w:color w:val="000000"/>
      <w:sz w:val="20"/>
      <w:szCs w:val="20"/>
      <w:u w:val="none"/>
    </w:rPr>
  </w:style>
  <w:style w:type="character" w:customStyle="1" w:styleId="43">
    <w:name w:val="正文文本缩进 2 字符"/>
    <w:link w:val="12"/>
    <w:qFormat/>
    <w:uiPriority w:val="0"/>
    <w:rPr>
      <w:kern w:val="2"/>
      <w:sz w:val="21"/>
      <w:szCs w:val="24"/>
    </w:rPr>
  </w:style>
  <w:style w:type="character" w:customStyle="1" w:styleId="44">
    <w:name w:val="Char Char3"/>
    <w:qFormat/>
    <w:locked/>
    <w:uiPriority w:val="0"/>
    <w:rPr>
      <w:rFonts w:ascii="宋体" w:hAnsi="Courier New" w:eastAsia="宋体"/>
      <w:kern w:val="2"/>
      <w:sz w:val="21"/>
      <w:lang w:val="en-US" w:eastAsia="zh-CN" w:bidi="ar-SA"/>
    </w:rPr>
  </w:style>
  <w:style w:type="character" w:customStyle="1" w:styleId="45">
    <w:name w:val="font41"/>
    <w:basedOn w:val="24"/>
    <w:qFormat/>
    <w:uiPriority w:val="0"/>
    <w:rPr>
      <w:rFonts w:hint="default" w:ascii="Arial" w:hAnsi="Arial" w:cs="Arial"/>
      <w:color w:val="FF0000"/>
      <w:sz w:val="20"/>
      <w:szCs w:val="20"/>
      <w:u w:val="none"/>
    </w:rPr>
  </w:style>
  <w:style w:type="character" w:customStyle="1" w:styleId="46">
    <w:name w:val="font81"/>
    <w:basedOn w:val="24"/>
    <w:qFormat/>
    <w:uiPriority w:val="0"/>
    <w:rPr>
      <w:rFonts w:hint="eastAsia" w:ascii="宋体" w:hAnsi="宋体" w:eastAsia="宋体" w:cs="宋体"/>
      <w:b/>
      <w:color w:val="000000"/>
      <w:sz w:val="22"/>
      <w:szCs w:val="22"/>
      <w:u w:val="none"/>
    </w:rPr>
  </w:style>
  <w:style w:type="character" w:customStyle="1" w:styleId="47">
    <w:name w:val="样式 纯文本 + (符号) 宋体 Char"/>
    <w:link w:val="48"/>
    <w:qFormat/>
    <w:uiPriority w:val="0"/>
    <w:rPr>
      <w:rFonts w:ascii="宋体" w:hAnsi="Courier New" w:eastAsia="宋体"/>
      <w:kern w:val="2"/>
      <w:sz w:val="21"/>
      <w:lang w:val="en-US" w:eastAsia="zh-CN" w:bidi="ar-SA"/>
    </w:rPr>
  </w:style>
  <w:style w:type="paragraph" w:customStyle="1" w:styleId="48">
    <w:name w:val="样式 纯文本 + (符号) 宋体"/>
    <w:basedOn w:val="10"/>
    <w:link w:val="47"/>
    <w:qFormat/>
    <w:uiPriority w:val="0"/>
    <w:pPr>
      <w:jc w:val="center"/>
    </w:pPr>
    <w:rPr>
      <w:rFonts w:cs="Times New Roman"/>
      <w:szCs w:val="20"/>
    </w:rPr>
  </w:style>
  <w:style w:type="character" w:customStyle="1" w:styleId="49">
    <w:name w:val="页眉 字符"/>
    <w:basedOn w:val="24"/>
    <w:link w:val="16"/>
    <w:qFormat/>
    <w:uiPriority w:val="99"/>
    <w:rPr>
      <w:kern w:val="2"/>
      <w:sz w:val="18"/>
      <w:szCs w:val="18"/>
    </w:rPr>
  </w:style>
  <w:style w:type="character" w:customStyle="1" w:styleId="50">
    <w:name w:val="批注文字 字符"/>
    <w:basedOn w:val="24"/>
    <w:link w:val="7"/>
    <w:qFormat/>
    <w:uiPriority w:val="0"/>
    <w:rPr>
      <w:kern w:val="2"/>
      <w:sz w:val="21"/>
      <w:szCs w:val="24"/>
    </w:rPr>
  </w:style>
  <w:style w:type="character" w:customStyle="1" w:styleId="51">
    <w:name w:val="font71"/>
    <w:basedOn w:val="24"/>
    <w:qFormat/>
    <w:uiPriority w:val="0"/>
    <w:rPr>
      <w:rFonts w:hint="eastAsia" w:ascii="宋体" w:hAnsi="宋体" w:eastAsia="宋体" w:cs="宋体"/>
      <w:color w:val="000000"/>
      <w:sz w:val="20"/>
      <w:szCs w:val="20"/>
      <w:u w:val="none"/>
    </w:rPr>
  </w:style>
  <w:style w:type="character" w:customStyle="1" w:styleId="52">
    <w:name w:val="font21"/>
    <w:basedOn w:val="24"/>
    <w:qFormat/>
    <w:uiPriority w:val="0"/>
    <w:rPr>
      <w:rFonts w:hint="eastAsia" w:ascii="宋体" w:hAnsi="宋体" w:eastAsia="宋体" w:cs="宋体"/>
      <w:color w:val="000000"/>
      <w:sz w:val="20"/>
      <w:szCs w:val="20"/>
      <w:u w:val="none"/>
    </w:rPr>
  </w:style>
  <w:style w:type="character" w:customStyle="1" w:styleId="53">
    <w:name w:val="批注主题 字符"/>
    <w:basedOn w:val="50"/>
    <w:link w:val="20"/>
    <w:qFormat/>
    <w:uiPriority w:val="0"/>
    <w:rPr>
      <w:kern w:val="2"/>
      <w:sz w:val="21"/>
      <w:szCs w:val="24"/>
    </w:rPr>
  </w:style>
  <w:style w:type="character" w:customStyle="1" w:styleId="54">
    <w:name w:val="apple-converted-space"/>
    <w:basedOn w:val="24"/>
    <w:qFormat/>
    <w:uiPriority w:val="0"/>
  </w:style>
  <w:style w:type="character" w:customStyle="1" w:styleId="55">
    <w:name w:val="纯文本 字符"/>
    <w:link w:val="10"/>
    <w:qFormat/>
    <w:uiPriority w:val="0"/>
    <w:rPr>
      <w:rFonts w:ascii="宋体" w:hAnsi="Courier New" w:eastAsia="宋体" w:cs="Courier New"/>
      <w:kern w:val="2"/>
      <w:sz w:val="21"/>
      <w:szCs w:val="21"/>
      <w:lang w:val="en-US" w:eastAsia="zh-CN" w:bidi="ar-SA"/>
    </w:rPr>
  </w:style>
  <w:style w:type="paragraph" w:customStyle="1" w:styleId="56">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7">
    <w:name w:val="文档结构图 字符"/>
    <w:basedOn w:val="24"/>
    <w:link w:val="6"/>
    <w:qFormat/>
    <w:uiPriority w:val="0"/>
    <w:rPr>
      <w:rFonts w:ascii="宋体"/>
      <w:kern w:val="2"/>
      <w:sz w:val="18"/>
      <w:szCs w:val="18"/>
    </w:rPr>
  </w:style>
  <w:style w:type="paragraph" w:customStyle="1" w:styleId="58">
    <w:name w:val="纯文本11"/>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纯文本2"/>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1"/>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1">
    <w:name w:val="纯文本12"/>
    <w:next w:val="18"/>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2">
    <w:name w:val="List Paragraph"/>
    <w:basedOn w:val="1"/>
    <w:qFormat/>
    <w:uiPriority w:val="34"/>
    <w:pPr>
      <w:ind w:firstLine="420" w:firstLineChars="200"/>
    </w:pPr>
  </w:style>
  <w:style w:type="paragraph" w:customStyle="1" w:styleId="63">
    <w:name w:val="无间隔1"/>
    <w:basedOn w:val="1"/>
    <w:qFormat/>
    <w:uiPriority w:val="0"/>
  </w:style>
  <w:style w:type="character" w:customStyle="1" w:styleId="64">
    <w:name w:val="font131"/>
    <w:basedOn w:val="24"/>
    <w:qFormat/>
    <w:uiPriority w:val="0"/>
    <w:rPr>
      <w:rFonts w:hint="eastAsia" w:ascii="仿宋" w:hAnsi="仿宋" w:eastAsia="仿宋" w:cs="仿宋"/>
      <w:color w:val="000000"/>
      <w:sz w:val="20"/>
      <w:szCs w:val="20"/>
      <w:u w:val="none"/>
    </w:rPr>
  </w:style>
  <w:style w:type="character" w:customStyle="1" w:styleId="65">
    <w:name w:val="font142"/>
    <w:basedOn w:val="24"/>
    <w:qFormat/>
    <w:uiPriority w:val="0"/>
    <w:rPr>
      <w:rFonts w:hint="eastAsia" w:ascii="仿宋" w:hAnsi="仿宋" w:eastAsia="仿宋" w:cs="仿宋"/>
      <w:color w:val="000000"/>
      <w:sz w:val="20"/>
      <w:szCs w:val="20"/>
      <w:u w:val="none"/>
      <w:vertAlign w:val="subscript"/>
    </w:rPr>
  </w:style>
  <w:style w:type="paragraph" w:customStyle="1" w:styleId="66">
    <w:name w:val="表格内容"/>
    <w:basedOn w:val="1"/>
    <w:qFormat/>
    <w:uiPriority w:val="0"/>
    <w:pPr>
      <w:jc w:val="center"/>
    </w:pPr>
    <w:rPr>
      <w:rFonts w:eastAsia="仿宋_GB2312"/>
      <w:sz w:val="18"/>
      <w:szCs w:val="21"/>
    </w:rPr>
  </w:style>
  <w:style w:type="paragraph" w:customStyle="1" w:styleId="67">
    <w:name w:val="图表名"/>
    <w:next w:val="1"/>
    <w:qFormat/>
    <w:uiPriority w:val="0"/>
    <w:pPr>
      <w:jc w:val="center"/>
    </w:pPr>
    <w:rPr>
      <w:rFonts w:ascii="Times New Roman" w:hAnsi="Times New Roman" w:eastAsia="黑体" w:cstheme="minorBidi"/>
      <w:b/>
      <w:bCs/>
      <w:kern w:val="44"/>
      <w:sz w:val="21"/>
      <w:szCs w:val="44"/>
      <w:lang w:val="en-US" w:eastAsia="zh-CN" w:bidi="ar-SA"/>
    </w:rPr>
  </w:style>
  <w:style w:type="paragraph" w:customStyle="1" w:styleId="68">
    <w:name w:val="图表"/>
    <w:basedOn w:val="67"/>
    <w:next w:val="67"/>
    <w:qFormat/>
    <w:uiPriority w:val="0"/>
    <w:rPr>
      <w:rFonts w:eastAsia="仿宋"/>
      <w:b w:val="0"/>
      <w:sz w:val="24"/>
    </w:rPr>
  </w:style>
  <w:style w:type="paragraph" w:customStyle="1" w:styleId="69">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39649A-CBBF-417C-9FC4-F8E334020C1C}">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36</Pages>
  <Words>17927</Words>
  <Characters>19374</Characters>
  <Lines>157</Lines>
  <Paragraphs>44</Paragraphs>
  <TotalTime>1</TotalTime>
  <ScaleCrop>false</ScaleCrop>
  <LinksUpToDate>false</LinksUpToDate>
  <CharactersWithSpaces>20562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2023-06-27T07:15:00Z</dcterms:created>
  <dc:creator>雨林木风</dc:creator>
  <cp:lastModifiedBy>wjenne</cp:lastModifiedBy>
  <cp:lastPrinted>2016-04-07T05:43:00Z</cp:lastPrinted>
  <dcterms:modified xsi:type="dcterms:W3CDTF">2023-06-27T08:33:57Z</dcterms:modified>
  <dc:title>询价采购通知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6179B469EF2C4E8BB3126F1CB98B282E_13</vt:lpwstr>
  </property>
</Properties>
</file>